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SWEENEY GERARD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2929 ARCH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BRANDYWINE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4"/>
        <w:gridCol w:w="902"/>
        <w:gridCol w:w="772"/>
        <w:gridCol w:w="599"/>
        <w:gridCol w:w="344"/>
        <w:gridCol w:w="963"/>
        <w:gridCol w:w="443"/>
        <w:gridCol w:w="660"/>
        <w:gridCol w:w="1308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2.96</w:t>
            </w:r>
          </w:p>
        </w:tc>
        <w:tc>
          <w:tcPr>
            <w:tcW w:w="13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4,207,691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purchased in the open market.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5,641 previously unreported common shares acquired under the Company's Dividend Reinvestment Plan (DRIP)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Gerard H. Sweeney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44673" TargetMode="External"/><Relationship Id="rId5" Type="http://schemas.openxmlformats.org/officeDocument/2006/relationships/hyperlink" Target="http://www.sec.gov/cgi-bin/browse-edgar?action=getcompany&amp;CIK=0000790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3234</Characters>
  <CharactersWithSpaces>3755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