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SWEENEY GERARD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2929 ARCH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BRANDYWINE REALTY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9"/>
        <w:gridCol w:w="905"/>
        <w:gridCol w:w="774"/>
        <w:gridCol w:w="601"/>
        <w:gridCol w:w="348"/>
        <w:gridCol w:w="845"/>
        <w:gridCol w:w="453"/>
        <w:gridCol w:w="669"/>
        <w:gridCol w:w="1279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3.17</w:t>
            </w:r>
            <w:r>
              <w:rPr/>
              <w:t xml:space="preserve"> </w:t>
            </w:r>
          </w:p>
        </w:tc>
        <w:tc>
          <w:tcPr>
            <w:tcW w:w="12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4,168,150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common shares withheld to satisfy payroll taxes due with respect to a scheduled distribution from the Company's deferred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Gerard H. Sweeney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44673" TargetMode="External"/><Relationship Id="rId5" Type="http://schemas.openxmlformats.org/officeDocument/2006/relationships/hyperlink" Target="http://www.sec.gov/cgi-bin/browse-edgar?action=getcompany&amp;CIK=0000790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3197</Characters>
  <CharactersWithSpaces>3723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