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8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57"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8"/>
          <w:szCs w:val="28"/>
          <w:b w:val="1"/>
          <w:bCs w:val="1"/>
          <w:color w:val="auto"/>
        </w:rPr>
        <w:t>CURRENT REPORT</w:t>
      </w:r>
    </w:p>
    <w:p>
      <w:pPr>
        <w:spacing w:after="0" w:line="20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 April 22, 2026</w:t>
      </w:r>
    </w:p>
    <w:p>
      <w:pPr>
        <w:spacing w:after="0" w:line="20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BRANDYWINE REALTY TRUST</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BRANDYWINE OPERATING PARTNERSHIP, L.P.</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365"/>
        </w:trPr>
        <w:tc>
          <w:tcPr>
            <w:tcW w:w="4400" w:type="dxa"/>
            <w:vAlign w:val="bottom"/>
            <w:gridSpan w:val="4"/>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(Brandywine Realty Trust)</w:t>
            </w:r>
          </w:p>
        </w:tc>
        <w:tc>
          <w:tcPr>
            <w:tcW w:w="2340" w:type="dxa"/>
            <w:vAlign w:val="bottom"/>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001-9106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23-2413352</w:t>
            </w:r>
          </w:p>
        </w:tc>
      </w:tr>
      <w:tr>
        <w:trPr>
          <w:trHeight w:val="364"/>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64"/>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(Brandywine Operating Partnership, L.P.)</w:t>
            </w:r>
          </w:p>
        </w:tc>
        <w:tc>
          <w:tcPr>
            <w:tcW w:w="2340" w:type="dxa"/>
            <w:vAlign w:val="bottom"/>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000-24407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23-2862640</w:t>
            </w:r>
          </w:p>
        </w:tc>
      </w:tr>
      <w:tr>
        <w:trPr>
          <w:trHeight w:val="154"/>
        </w:trPr>
        <w:tc>
          <w:tcPr>
            <w:tcW w:w="3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Borders>
              <w:bottom w:val="single" w:sz="8" w:color="auto"/>
            </w:tcBorders>
          </w:tcPr>
          <w:p>
            <w:pPr>
              <w:spacing w:after="0"/>
              <w:rPr>
                <w:sz w:val="13"/>
                <w:szCs w:val="13"/>
                <w:color w:val="auto"/>
              </w:rPr>
            </w:pPr>
          </w:p>
        </w:tc>
      </w:tr>
      <w:tr>
        <w:trPr>
          <w:trHeight w:val="156"/>
        </w:trPr>
        <w:tc>
          <w:tcPr>
            <w:tcW w:w="38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tcPr>
          <w:p>
            <w:pPr>
              <w:ind w:left="320"/>
              <w:spacing w:after="0" w:line="155" w:lineRule="exact"/>
              <w:rPr>
                <w:sz w:val="20"/>
                <w:szCs w:val="20"/>
                <w:color w:val="auto"/>
              </w:rPr>
            </w:pPr>
            <w:r>
              <w:rPr>
                <w:rFonts w:ascii="Times New Roman" w:cs="Times New Roman" w:eastAsia="Times New Roman" w:hAnsi="Times New Roman"/>
                <w:sz w:val="16"/>
                <w:szCs w:val="16"/>
                <w:color w:val="auto"/>
              </w:rPr>
              <w:t>(Commission file number)</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210"/>
        </w:trPr>
        <w:tc>
          <w:tcPr>
            <w:tcW w:w="4400" w:type="dxa"/>
            <w:vAlign w:val="bottom"/>
            <w:gridSpan w:val="4"/>
          </w:tcPr>
          <w:p>
            <w:pPr>
              <w:jc w:val="center"/>
              <w:ind w:right="600"/>
              <w:spacing w:after="0"/>
              <w:rPr>
                <w:sz w:val="20"/>
                <w:szCs w:val="20"/>
                <w:color w:val="auto"/>
              </w:rPr>
            </w:pPr>
            <w:r>
              <w:rPr>
                <w:rFonts w:ascii="Times New Roman" w:cs="Times New Roman" w:eastAsia="Times New Roman" w:hAnsi="Times New Roman"/>
                <w:sz w:val="16"/>
                <w:szCs w:val="16"/>
                <w:color w:val="auto"/>
              </w:rPr>
              <w:t>or Organization)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Pr>
          <w:p>
            <w:pPr>
              <w:spacing w:after="0"/>
              <w:rPr>
                <w:sz w:val="18"/>
                <w:szCs w:val="18"/>
                <w:color w:val="auto"/>
              </w:rPr>
            </w:pPr>
          </w:p>
        </w:tc>
      </w:tr>
    </w:tbl>
    <w:p>
      <w:pPr>
        <w:spacing w:after="0" w:line="200" w:lineRule="exact"/>
        <w:rPr>
          <w:sz w:val="24"/>
          <w:szCs w:val="24"/>
          <w:color w:val="auto"/>
        </w:rPr>
      </w:pP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2929 Arch Street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Suite 1800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(610) 325-5600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6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38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55"/>
        </w:trPr>
        <w:tc>
          <w:tcPr>
            <w:tcW w:w="416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4180" w:type="dxa"/>
            <w:vAlign w:val="bottom"/>
            <w:tcBorders>
              <w:bottom w:val="single" w:sz="8" w:color="auto"/>
            </w:tcBorders>
          </w:tcPr>
          <w:p>
            <w:pPr>
              <w:spacing w:after="0"/>
              <w:rPr>
                <w:sz w:val="13"/>
                <w:szCs w:val="13"/>
                <w:color w:val="auto"/>
              </w:rPr>
            </w:pPr>
          </w:p>
        </w:tc>
      </w:tr>
      <w:tr>
        <w:trPr>
          <w:trHeight w:val="204"/>
        </w:trPr>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BDN</w:t>
            </w:r>
          </w:p>
        </w:tc>
        <w:tc>
          <w:tcPr>
            <w:tcW w:w="500" w:type="dxa"/>
            <w:vAlign w:val="bottom"/>
          </w:tcPr>
          <w:p>
            <w:pPr>
              <w:spacing w:after="0"/>
              <w:rPr>
                <w:sz w:val="17"/>
                <w:szCs w:val="17"/>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NYSE</w:t>
            </w:r>
          </w:p>
        </w:tc>
      </w:tr>
    </w:tbl>
    <w:p>
      <w:pPr>
        <w:spacing w:after="0" w:line="338" w:lineRule="exact"/>
        <w:rPr>
          <w:sz w:val="24"/>
          <w:szCs w:val="24"/>
          <w:color w:val="auto"/>
        </w:rPr>
      </w:pPr>
    </w:p>
    <w:p>
      <w:pPr>
        <w:ind w:right="520"/>
        <w:spacing w:after="0" w:line="31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Brandywine Realty Trust</w:t>
      </w:r>
      <w:r>
        <w:rPr>
          <w:rFonts w:ascii="Times New Roman" w:cs="Times New Roman" w:eastAsia="Times New Roman" w:hAnsi="Times New Roman"/>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Brandywine Operating Partnership, L.P.</w:t>
      </w:r>
      <w:r>
        <w:rPr>
          <w:rFonts w:ascii="Times New Roman" w:cs="Times New Roman" w:eastAsia="Times New Roman" w:hAnsi="Times New Roman"/>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u w:val="single" w:color="auto"/>
          <w:color w:val="auto"/>
        </w:rPr>
        <w:t>Brandywine Realty Trust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u w:val="single" w:color="auto"/>
          <w:color w:val="auto"/>
        </w:rPr>
        <w:t>Brandywine Operating Partnership, L.P.</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 w:firstLine="72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 “Results of Operations and Financial Condition,” including the press release attached as an exhibit to this Current Report, is being furnished and shall not be deemed to be “filed” for any purpose, including for the purposes of Section 18 of the Securities Exchange Act of 1934, as amended (the “Exchange Act”), or otherwise subject to the liabilities of that Section, and shall not be deemed incorporated by reference into any filing under the Securities Act of 1933, as amended, or the Exchange Act regardless of any general incorporation language in such filing.</w:t>
      </w:r>
    </w:p>
    <w:p>
      <w:pPr>
        <w:spacing w:after="0" w:line="180" w:lineRule="exact"/>
        <w:rPr>
          <w:sz w:val="20"/>
          <w:szCs w:val="20"/>
          <w:color w:val="auto"/>
        </w:rPr>
      </w:pPr>
    </w:p>
    <w:p>
      <w:pPr>
        <w:ind w:right="240" w:firstLine="729"/>
        <w:spacing w:after="0" w:line="282" w:lineRule="auto"/>
        <w:rPr>
          <w:sz w:val="20"/>
          <w:szCs w:val="20"/>
          <w:color w:val="auto"/>
        </w:rPr>
      </w:pPr>
      <w:r>
        <w:rPr>
          <w:rFonts w:ascii="Times New Roman" w:cs="Times New Roman" w:eastAsia="Times New Roman" w:hAnsi="Times New Roman"/>
          <w:sz w:val="18"/>
          <w:szCs w:val="18"/>
          <w:color w:val="auto"/>
        </w:rPr>
        <w:t>On April 22, 2026, we issued a press release announcing our financial results for the three months ended March 31, 2026. That press release is attached hereto as Exhibit 99.1 and is incorporated by reference herein.</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press release includes “non-GAAP financial measures” within the meaning of the Securities and Exchange Commission's Regulation</w:t>
      </w:r>
    </w:p>
    <w:p>
      <w:pPr>
        <w:spacing w:after="0" w:line="27" w:lineRule="exact"/>
        <w:rPr>
          <w:sz w:val="20"/>
          <w:szCs w:val="20"/>
          <w:color w:val="auto"/>
        </w:rPr>
      </w:pPr>
    </w:p>
    <w:p>
      <w:pPr>
        <w:ind w:right="220" w:firstLine="8"/>
        <w:spacing w:after="0" w:line="255" w:lineRule="auto"/>
        <w:tabs>
          <w:tab w:leader="none" w:pos="2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such non-GAAP financial measures, we have disclosed in the press release the most directly comparable financial measure calculated and presented in accordance with generally accepted accounting principles (“GAAP”) and have provided a reconciliation of such non-GAAP financial measures to the most directly comparable GAAP financial measure.</w:t>
      </w:r>
    </w:p>
    <w:p>
      <w:pPr>
        <w:spacing w:after="0" w:line="18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183"/>
        </w:trPr>
        <w:tc>
          <w:tcPr>
            <w:tcW w:w="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20" w:type="dxa"/>
            <w:vAlign w:val="bottom"/>
            <w:tcBorders>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Brandywine Realty Trust Press Release dated April 22, 2026.</w:t>
            </w:r>
          </w:p>
        </w:tc>
        <w:tc>
          <w:tcPr>
            <w:tcW w:w="5760" w:type="dxa"/>
            <w:vAlign w:val="bottom"/>
          </w:tcPr>
          <w:p>
            <w:pPr>
              <w:spacing w:after="0"/>
              <w:rPr>
                <w:sz w:val="15"/>
                <w:szCs w:val="15"/>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735"/>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RANDYWINE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EALTY</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p>
    <w:p>
      <w:pPr>
        <w:spacing w:after="0" w:line="306" w:lineRule="exact"/>
        <w:rPr>
          <w:sz w:val="20"/>
          <w:szCs w:val="20"/>
          <w:color w:val="auto"/>
        </w:rPr>
      </w:pPr>
    </w:p>
    <w:p>
      <w:pPr>
        <w:ind w:left="6500"/>
        <w:spacing w:after="0"/>
        <w:tabs>
          <w:tab w:leader="none" w:pos="6980" w:val="left"/>
        </w:tabs>
        <w:rPr>
          <w:sz w:val="20"/>
          <w:szCs w:val="20"/>
          <w:color w:val="auto"/>
        </w:rPr>
      </w:pPr>
      <w:r>
        <w:rPr>
          <w:rFonts w:ascii="Times New Roman" w:cs="Times New Roman" w:eastAsia="Times New Roman" w:hAnsi="Times New Roman"/>
          <w:sz w:val="18"/>
          <w:szCs w:val="18"/>
          <w:color w:val="auto"/>
        </w:rPr>
        <w:t>By:</w:t>
        <w:tab/>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17145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Thomas E. Wirth</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RANDYWINE</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PERATING</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ARTNERSHIP</w:t>
      </w:r>
      <w:r>
        <w:rPr>
          <w:rFonts w:ascii="Times New Roman" w:cs="Times New Roman" w:eastAsia="Times New Roman" w:hAnsi="Times New Roman"/>
          <w:sz w:val="18"/>
          <w:szCs w:val="18"/>
          <w:color w:val="auto"/>
        </w:rPr>
        <w:t>, L.P.</w:t>
      </w:r>
    </w:p>
    <w:p>
      <w:pPr>
        <w:spacing w:after="0" w:line="306" w:lineRule="exact"/>
        <w:rPr>
          <w:sz w:val="20"/>
          <w:szCs w:val="20"/>
          <w:color w:val="auto"/>
        </w:rPr>
      </w:pPr>
    </w:p>
    <w:p>
      <w:pPr>
        <w:jc w:val="right"/>
        <w:spacing w:after="0"/>
        <w:tabs>
          <w:tab w:leader="none" w:pos="3880" w:val="left"/>
        </w:tabs>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tab/>
        <w:t>B</w:t>
      </w:r>
      <w:r>
        <w:rPr>
          <w:rFonts w:ascii="Times New Roman" w:cs="Times New Roman" w:eastAsia="Times New Roman" w:hAnsi="Times New Roman"/>
          <w:sz w:val="14"/>
          <w:szCs w:val="14"/>
          <w:color w:val="auto"/>
        </w:rPr>
        <w:t>RANDYWINE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EALTY</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ITS</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ENERAL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ARTNER</w:t>
      </w:r>
    </w:p>
    <w:p>
      <w:pPr>
        <w:spacing w:after="0" w:line="306" w:lineRule="exact"/>
        <w:rPr>
          <w:sz w:val="20"/>
          <w:szCs w:val="20"/>
          <w:color w:val="auto"/>
        </w:rPr>
      </w:pPr>
    </w:p>
    <w:p>
      <w:pPr>
        <w:ind w:left="6500"/>
        <w:spacing w:after="0"/>
        <w:tabs>
          <w:tab w:leader="none" w:pos="6980" w:val="left"/>
        </w:tabs>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/s/ Thomas E. Wirth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26035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Thomas E. Wirth</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3"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22, 2026</w:t>
      </w:r>
    </w:p>
    <w:p>
      <w:pPr>
        <w:sectPr>
          <w:pgSz w:w="11900" w:h="16838" w:orient="portrait"/>
          <w:cols w:equalWidth="0" w:num="1">
            <w:col w:w="10900"/>
          </w:cols>
          <w:pgMar w:left="320" w:top="1089" w:right="679" w:bottom="1440" w:gutter="0" w:footer="0" w:header="0"/>
        </w:sectPr>
      </w:pPr>
    </w:p>
    <w:bookmarkStart w:id="3" w:name="page4"/>
    <w:bookmarkEnd w:id="3"/>
    <w:p>
      <w:pPr>
        <w:ind w:left="10200"/>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25400</wp:posOffset>
            </wp:positionV>
            <wp:extent cx="908685" cy="1028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8685" cy="1028700"/>
                    </a:xfrm>
                    <a:prstGeom prst="rect">
                      <a:avLst/>
                    </a:prstGeom>
                    <a:noFill/>
                  </pic:spPr>
                </pic:pic>
              </a:graphicData>
            </a:graphic>
          </wp:anchor>
        </w:drawing>
      </w:r>
    </w:p>
    <w:p>
      <w:pPr>
        <w:spacing w:after="0" w:line="114" w:lineRule="exact"/>
        <w:rPr>
          <w:sz w:val="20"/>
          <w:szCs w:val="20"/>
          <w:color w:val="auto"/>
        </w:rPr>
      </w:pPr>
    </w:p>
    <w:p>
      <w:pPr>
        <w:ind w:left="8040"/>
        <w:spacing w:after="0"/>
        <w:rPr>
          <w:sz w:val="20"/>
          <w:szCs w:val="20"/>
          <w:color w:val="auto"/>
        </w:rPr>
      </w:pPr>
      <w:r>
        <w:rPr>
          <w:rFonts w:ascii="Arial" w:cs="Arial" w:eastAsia="Arial" w:hAnsi="Arial"/>
          <w:sz w:val="16"/>
          <w:szCs w:val="16"/>
          <w:u w:val="single" w:color="auto"/>
          <w:color w:val="auto"/>
        </w:rPr>
        <w:t>Company / Investor Contact:</w:t>
      </w:r>
    </w:p>
    <w:p>
      <w:pPr>
        <w:spacing w:after="0" w:line="215"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Tom Wirth</w:t>
      </w:r>
    </w:p>
    <w:p>
      <w:pPr>
        <w:ind w:left="8280"/>
        <w:spacing w:after="0" w:line="211" w:lineRule="auto"/>
        <w:rPr>
          <w:sz w:val="20"/>
          <w:szCs w:val="20"/>
          <w:color w:val="auto"/>
        </w:rPr>
      </w:pPr>
      <w:r>
        <w:rPr>
          <w:rFonts w:ascii="Arial" w:cs="Arial" w:eastAsia="Arial" w:hAnsi="Arial"/>
          <w:sz w:val="16"/>
          <w:szCs w:val="16"/>
          <w:color w:val="auto"/>
        </w:rPr>
        <w:t>EVP &amp; CFO</w:t>
      </w:r>
    </w:p>
    <w:p>
      <w:pPr>
        <w:ind w:left="8280"/>
        <w:spacing w:after="0" w:line="211" w:lineRule="auto"/>
        <w:rPr>
          <w:sz w:val="20"/>
          <w:szCs w:val="20"/>
          <w:color w:val="auto"/>
        </w:rPr>
      </w:pPr>
      <w:r>
        <w:rPr>
          <w:rFonts w:ascii="Arial" w:cs="Arial" w:eastAsia="Arial" w:hAnsi="Arial"/>
          <w:sz w:val="16"/>
          <w:szCs w:val="16"/>
          <w:color w:val="auto"/>
        </w:rPr>
        <w:t>610-832-7434</w:t>
      </w:r>
    </w:p>
    <w:p>
      <w:pPr>
        <w:ind w:left="8280"/>
        <w:spacing w:after="0"/>
        <w:rPr>
          <w:sz w:val="20"/>
          <w:szCs w:val="20"/>
          <w:color w:val="auto"/>
        </w:rPr>
      </w:pPr>
      <w:r>
        <w:rPr>
          <w:rFonts w:ascii="Arial" w:cs="Arial" w:eastAsia="Arial" w:hAnsi="Arial"/>
          <w:sz w:val="16"/>
          <w:szCs w:val="16"/>
          <w:u w:val="single" w:color="auto"/>
          <w:color w:val="0000FF"/>
        </w:rPr>
        <w:t>tom.wirth@bdnreit.com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807720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Brandywine Realty Trust Announces First Quarter 2026 Results and Narrows 2026 Guidance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Philadelphia, PA, April 22, 2026 </w:t>
      </w:r>
      <w:r>
        <w:rPr>
          <w:rFonts w:ascii="Arial" w:cs="Arial" w:eastAsia="Arial" w:hAnsi="Arial"/>
          <w:sz w:val="18"/>
          <w:szCs w:val="18"/>
          <w:color w:val="auto"/>
        </w:rPr>
        <w:t>— Brandywine Realty Trust (NYSE:BDN) today reported its financial and operating results for the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March 31,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 Comments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we made excellent progress on our 2026 business plan highlighted by achieving 94% of our speculative revenue target based on the midpoint of our guidance.” stated Jerry Sweeney, President and Chief Executive Officer of Brandywine Realty Trust. “Our wholly owned first quarter leasing activity totaled 268,000 square feet representing the most activity since the fourth quarter of 2024. We continue to make progress on our portfolio recycling program and expect to achieve our $290 million disposition target with approximately $305 million under agreement or currently in various stages of due diligence. We have agreed to terms on a 7-year financing for Avira for up to $100 million using the proceeds and line of credit to repay the existing construction loan due in July 2026 and we anticipate closing both transactions during the second quarter. We remain in an excellent liquidity position with $65 million outstanding on our $600 million unsecured line of credit and no unsecured bonds maturing until November 2027. Based on the progress we have made on our 2026 business plan, we are narrowing our FFO range from $0.51 to $0.59 per share to $0.52 to $0.58 per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First Quarter 2026 Highlights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169" w:lineRule="exact"/>
        <w:rPr>
          <w:sz w:val="20"/>
          <w:szCs w:val="20"/>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attributable to common shareholders: $(48.9) million, or $(0.28) per share. Our results include non-cash impairment charges for properties within our wholly owned portfolio totaling $11.9 million, or $(0.07) per share.</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Funds from Operations (FFO) available to common shareholders: $20.0 million, or $0.11 per diluted share.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 Results</w:t>
      </w:r>
    </w:p>
    <w:p>
      <w:pPr>
        <w:spacing w:after="0" w:line="16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Portfolio: 88.3% occupied and 89.9% leased.</w:t>
      </w:r>
    </w:p>
    <w:p>
      <w:pPr>
        <w:spacing w:after="0" w:line="1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and renewal leases signed: 268,000 square feet during the first quarter in our wholly-owned portfolio and, including leasing within our unconsolidated joint ventures, totaled 422,000 square feet.</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Rental rate mark-to-market: Increased 4.1% on an accrual basis and decreased (2.6)% on a cash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Same store net operating income (NOI): Increased 0.8% on an accrual basis and 3.3% on a cash basis.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Leases scheduled to commence subsequent to March 31, 2026: 182,000 square feet.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Finance Activity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- 1 -</w:t>
      </w:r>
    </w:p>
    <w:p>
      <w:pPr>
        <w:sectPr>
          <w:pgSz w:w="11900" w:h="16838" w:orient="portrait"/>
          <w:cols w:equalWidth="0" w:num="1">
            <w:col w:w="11240"/>
          </w:cols>
          <w:pgMar w:left="320" w:top="923" w:right="339" w:bottom="1440" w:gutter="0" w:footer="0" w:header="0"/>
        </w:sectPr>
      </w:pPr>
    </w:p>
    <w:bookmarkStart w:id="4" w:name="page5"/>
    <w:bookmarkEnd w:id="4"/>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March 31, 2026, we had a $65.0 million outstanding balance on our $600.0 million unsecured line of credit.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March 31, 2026, we had $36.2 million of cash and cash equivalents on-hand.</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Results for the Three Months Ended March 31, 2026</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loss attributable to common shareholders totaled $(48.9) million, or $(0.28) per share, in the first quarter of 2026 compared to a net loss attributable to common shareholders of $(27.4) million, or $(0.16) per share in the first quarter of 2025. Our 2026 results include non-cash impairment charges within our wholly owned portfolio totaling $11.9 million, or $(0.07) per share.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FFO available to common shareholders and unit holders in the first quarter of 2026 totaled $20.0 million, or $0.11 per diluted share, versus $24.7 million, or $0.14 per diluted share, in the first quarter of 2025. Our first quarter FFO 2026 payout ratio ($0.08 common share distribution / $0.11 FFO per diluted share) was 72.7%.</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and Leasing Activity</w:t>
      </w:r>
    </w:p>
    <w:p>
      <w:pPr>
        <w:spacing w:after="0" w:line="16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In the first quarter of 2026, our NOI excluding termination fees and other income items increased 0.8% on an accrual basis and 3.3% on a cash basis for our 59 same store properties, which were 88.3% and 88.8% occupied on March 31, 2026 and March 31, 2025, respectively.</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leased approximately 268,000 square feet and commenced occupancy on 237,000 square feet during the first quarter of 2026. The first quarter occupancy activity includes 77,000 square feet of renewals, 114,000 square feet of new leases and 46,000 square feet of tenant expansions. We also have an additional 182,000 square feet of executed new leasing scheduled to commence subsequent to March 31, 2026. Our tenant retention ratio was 45% in our core portfolio with negative net absorption of (38,000) square feet during the first quarter of</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2026. First quarter rental rate growth increased 4.1% as our renewal rental rates increased 5.0% and our new lease/expansion rental rates decreased (0.9)%, all on an accrual basis.</w:t>
      </w:r>
    </w:p>
    <w:p>
      <w:pPr>
        <w:spacing w:after="0" w:line="17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March 31, 2026, our core portfolio of 60 properties comprising 11.4 million square feet was 88.3% occupied and, as of April 15, 2026, 89.9% leased (reflecting executed leases commencing after March 31, 2026).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Distributions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On February 18, 2026, our Board of Trustees declared a quarterly cash dividend of $0.08 per common share and OP Unit that was paid on April 16, 2026 to holders of record on April 2, 2026.</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2026 Earnings and FFO Guidance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Based on current plans and assumptions and subject to the risks and uncertainties more fully described in our Securities and Exchange Commission filings, we are adjusting our 2026 loss per share guidance from $(0.66) - $ (0.58) per share to $(0.76) – $(0.70) per share and 2026 FFO guidance from $0.51 - $0.59 per diluted share to $0.52 - $0.58 per diluted share. This guidance is provided for informational purposes and is subject to change. The following is a reconciliation of the calculation of 2026 FFO and earnings per diluted share:</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960" w:type="dxa"/>
            <w:vAlign w:val="bottom"/>
            <w:gridSpan w:val="2"/>
          </w:tcPr>
          <w:p>
            <w:pPr>
              <w:spacing w:after="0"/>
              <w:rPr>
                <w:sz w:val="20"/>
                <w:szCs w:val="20"/>
                <w:color w:val="auto"/>
              </w:rPr>
            </w:pPr>
            <w:r>
              <w:rPr>
                <w:rFonts w:ascii="Arial" w:cs="Arial" w:eastAsia="Arial" w:hAnsi="Arial"/>
                <w:sz w:val="18"/>
                <w:szCs w:val="18"/>
                <w:color w:val="auto"/>
              </w:rPr>
              <w:t>Guidance for 2026</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color w:val="auto"/>
              </w:rPr>
              <w:t>Range</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501"/>
        </w:trPr>
        <w:tc>
          <w:tcPr>
            <w:tcW w:w="7960" w:type="dxa"/>
            <w:vAlign w:val="bottom"/>
            <w:gridSpan w:val="2"/>
          </w:tcPr>
          <w:p>
            <w:pPr>
              <w:ind w:left="960"/>
              <w:spacing w:after="0"/>
              <w:rPr>
                <w:sz w:val="20"/>
                <w:szCs w:val="20"/>
                <w:color w:val="auto"/>
              </w:rPr>
            </w:pPr>
            <w:r>
              <w:rPr>
                <w:rFonts w:ascii="Arial" w:cs="Arial" w:eastAsia="Arial" w:hAnsi="Arial"/>
                <w:sz w:val="18"/>
                <w:szCs w:val="18"/>
                <w:b w:val="1"/>
                <w:bCs w:val="1"/>
                <w:color w:val="auto"/>
              </w:rPr>
              <w:t>Loss per diluted share allocated to common shareholders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Pr>
          <w:p>
            <w:pPr>
              <w:jc w:val="center"/>
              <w:ind w:left="90"/>
              <w:spacing w:after="0"/>
              <w:rPr>
                <w:sz w:val="20"/>
                <w:szCs w:val="20"/>
                <w:color w:val="auto"/>
              </w:rPr>
            </w:pPr>
            <w:r>
              <w:rPr>
                <w:rFonts w:ascii="Arial" w:cs="Arial" w:eastAsia="Arial" w:hAnsi="Arial"/>
                <w:sz w:val="18"/>
                <w:szCs w:val="18"/>
                <w:b w:val="1"/>
                <w:bCs w:val="1"/>
                <w:color w:val="auto"/>
              </w:rPr>
              <w:t>(0.76)</w:t>
            </w:r>
          </w:p>
        </w:tc>
        <w:tc>
          <w:tcPr>
            <w:tcW w:w="260" w:type="dxa"/>
            <w:vAlign w:val="bottom"/>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to</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Pr>
          <w:p>
            <w:pPr>
              <w:jc w:val="center"/>
              <w:ind w:left="170"/>
              <w:spacing w:after="0"/>
              <w:rPr>
                <w:sz w:val="20"/>
                <w:szCs w:val="20"/>
                <w:color w:val="auto"/>
              </w:rPr>
            </w:pPr>
            <w:r>
              <w:rPr>
                <w:rFonts w:ascii="Arial" w:cs="Arial" w:eastAsia="Arial" w:hAnsi="Arial"/>
                <w:sz w:val="18"/>
                <w:szCs w:val="18"/>
                <w:b w:val="1"/>
                <w:bCs w:val="1"/>
                <w:color w:val="auto"/>
                <w:w w:val="97"/>
              </w:rPr>
              <w:t>(0.70)</w:t>
            </w:r>
          </w:p>
        </w:tc>
      </w:tr>
      <w:tr>
        <w:trPr>
          <w:trHeight w:val="229"/>
        </w:trPr>
        <w:tc>
          <w:tcPr>
            <w:tcW w:w="7960" w:type="dxa"/>
            <w:vAlign w:val="bottom"/>
            <w:gridSpan w:val="2"/>
          </w:tcPr>
          <w:p>
            <w:pPr>
              <w:ind w:left="960"/>
              <w:spacing w:after="0"/>
              <w:rPr>
                <w:sz w:val="20"/>
                <w:szCs w:val="20"/>
                <w:color w:val="auto"/>
              </w:rPr>
            </w:pPr>
            <w:r>
              <w:rPr>
                <w:rFonts w:ascii="Arial" w:cs="Arial" w:eastAsia="Arial" w:hAnsi="Arial"/>
                <w:sz w:val="18"/>
                <w:szCs w:val="18"/>
                <w:color w:val="auto"/>
              </w:rPr>
              <w:t>Plus: real estate depreciation, amortization</w:t>
            </w:r>
          </w:p>
        </w:tc>
        <w:tc>
          <w:tcPr>
            <w:tcW w:w="260" w:type="dxa"/>
            <w:vAlign w:val="bottom"/>
          </w:tcPr>
          <w:p>
            <w:pPr>
              <w:spacing w:after="0"/>
              <w:rPr>
                <w:sz w:val="19"/>
                <w:szCs w:val="19"/>
                <w:color w:val="auto"/>
              </w:rPr>
            </w:pPr>
          </w:p>
        </w:tc>
        <w:tc>
          <w:tcPr>
            <w:tcW w:w="700" w:type="dxa"/>
            <w:vAlign w:val="bottom"/>
          </w:tcPr>
          <w:p>
            <w:pPr>
              <w:jc w:val="center"/>
              <w:ind w:left="110"/>
              <w:spacing w:after="0"/>
              <w:rPr>
                <w:sz w:val="20"/>
                <w:szCs w:val="20"/>
                <w:color w:val="auto"/>
              </w:rPr>
            </w:pPr>
            <w:r>
              <w:rPr>
                <w:rFonts w:ascii="Arial" w:cs="Arial" w:eastAsia="Arial" w:hAnsi="Arial"/>
                <w:sz w:val="18"/>
                <w:szCs w:val="18"/>
                <w:color w:val="auto"/>
                <w:w w:val="96"/>
              </w:rPr>
              <w:t>1.21</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center"/>
              <w:ind w:left="190"/>
              <w:spacing w:after="0"/>
              <w:rPr>
                <w:sz w:val="20"/>
                <w:szCs w:val="20"/>
                <w:color w:val="auto"/>
              </w:rPr>
            </w:pPr>
            <w:r>
              <w:rPr>
                <w:rFonts w:ascii="Arial" w:cs="Arial" w:eastAsia="Arial" w:hAnsi="Arial"/>
                <w:sz w:val="18"/>
                <w:szCs w:val="18"/>
                <w:color w:val="auto"/>
              </w:rPr>
              <w:t>1.21</w:t>
            </w:r>
          </w:p>
        </w:tc>
      </w:tr>
      <w:tr>
        <w:trPr>
          <w:trHeight w:val="235"/>
        </w:trPr>
        <w:tc>
          <w:tcPr>
            <w:tcW w:w="7960" w:type="dxa"/>
            <w:vAlign w:val="bottom"/>
            <w:gridSpan w:val="2"/>
          </w:tcPr>
          <w:p>
            <w:pPr>
              <w:ind w:left="960"/>
              <w:spacing w:after="0"/>
              <w:rPr>
                <w:sz w:val="20"/>
                <w:szCs w:val="20"/>
                <w:color w:val="auto"/>
              </w:rPr>
            </w:pPr>
            <w:r>
              <w:rPr>
                <w:rFonts w:ascii="Arial" w:cs="Arial" w:eastAsia="Arial" w:hAnsi="Arial"/>
                <w:sz w:val="18"/>
                <w:szCs w:val="18"/>
                <w:color w:val="auto"/>
              </w:rPr>
              <w:t>Plus: real estate impairment</w:t>
            </w:r>
          </w:p>
        </w:tc>
        <w:tc>
          <w:tcPr>
            <w:tcW w:w="260" w:type="dxa"/>
            <w:vAlign w:val="bottom"/>
          </w:tcPr>
          <w:p>
            <w:pPr>
              <w:spacing w:after="0"/>
              <w:rPr>
                <w:sz w:val="20"/>
                <w:szCs w:val="20"/>
                <w:color w:val="auto"/>
              </w:rPr>
            </w:pPr>
          </w:p>
        </w:tc>
        <w:tc>
          <w:tcPr>
            <w:tcW w:w="7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6"/>
              </w:rPr>
              <w:t>0.07</w:t>
            </w: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rPr>
              <w:t>0.07</w:t>
            </w:r>
          </w:p>
        </w:tc>
      </w:tr>
      <w:tr>
        <w:trPr>
          <w:trHeight w:val="223"/>
        </w:trPr>
        <w:tc>
          <w:tcPr>
            <w:tcW w:w="7960" w:type="dxa"/>
            <w:vAlign w:val="bottom"/>
            <w:gridSpan w:val="2"/>
          </w:tcPr>
          <w:p>
            <w:pPr>
              <w:ind w:left="960"/>
              <w:spacing w:after="0"/>
              <w:rPr>
                <w:sz w:val="20"/>
                <w:szCs w:val="20"/>
                <w:color w:val="auto"/>
              </w:rPr>
            </w:pPr>
            <w:r>
              <w:rPr>
                <w:rFonts w:ascii="Arial" w:cs="Arial" w:eastAsia="Arial" w:hAnsi="Arial"/>
                <w:sz w:val="18"/>
                <w:szCs w:val="18"/>
                <w:b w:val="1"/>
                <w:bCs w:val="1"/>
                <w:color w:val="auto"/>
              </w:rPr>
              <w:t>FFO per diluted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6"/>
              </w:rPr>
              <w:t>0.52</w:t>
            </w:r>
          </w:p>
        </w:tc>
        <w:tc>
          <w:tcPr>
            <w:tcW w:w="260" w:type="dxa"/>
            <w:vAlign w:val="bottom"/>
          </w:tcPr>
          <w:p>
            <w:pPr>
              <w:spacing w:after="0"/>
              <w:rPr>
                <w:sz w:val="19"/>
                <w:szCs w:val="19"/>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to</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rPr>
              <w:t>0.58</w:t>
            </w:r>
          </w:p>
        </w:tc>
      </w:tr>
      <w:tr>
        <w:trPr>
          <w:trHeight w:val="20"/>
        </w:trPr>
        <w:tc>
          <w:tcPr>
            <w:tcW w:w="14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Our 2026 FFO key assumptions include:</w:t>
      </w:r>
    </w:p>
    <w:p>
      <w:pPr>
        <w:spacing w:after="0" w:line="225" w:lineRule="exact"/>
        <w:rPr>
          <w:sz w:val="20"/>
          <w:szCs w:val="20"/>
          <w:color w:val="auto"/>
        </w:rPr>
      </w:pPr>
    </w:p>
    <w:p>
      <w:pPr>
        <w:ind w:left="700" w:hanging="31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Year-end Core Occupancy Range: 89-90%;</w:t>
      </w: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- 2 -</w:t>
      </w:r>
    </w:p>
    <w:p>
      <w:pPr>
        <w:sectPr>
          <w:pgSz w:w="11900" w:h="16838" w:orient="portrait"/>
          <w:cols w:equalWidth="0" w:num="1">
            <w:col w:w="11240"/>
          </w:cols>
          <w:pgMar w:left="320" w:top="1052" w:right="339" w:bottom="1440" w:gutter="0" w:footer="0" w:header="0"/>
          <w:type w:val="continuous"/>
        </w:sectPr>
      </w:pPr>
    </w:p>
    <w:bookmarkStart w:id="5" w:name="page6"/>
    <w:bookmarkEnd w:id="5"/>
    <w:p>
      <w:pPr>
        <w:ind w:left="700" w:hanging="31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Year-end Core Leased Range: 90-91%;</w:t>
      </w:r>
    </w:p>
    <w:p>
      <w:pPr>
        <w:spacing w:after="0" w:line="225" w:lineRule="exact"/>
        <w:rPr>
          <w:rFonts w:ascii="Arial" w:cs="Arial" w:eastAsia="Arial" w:hAnsi="Arial"/>
          <w:sz w:val="18"/>
          <w:szCs w:val="18"/>
          <w:color w:val="auto"/>
        </w:rPr>
      </w:pPr>
    </w:p>
    <w:p>
      <w:pPr>
        <w:ind w:left="700" w:hanging="31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Rental Rate Mark-to-Market (accrual): 5-7%;</w:t>
      </w:r>
    </w:p>
    <w:p>
      <w:pPr>
        <w:spacing w:after="0" w:line="225" w:lineRule="exact"/>
        <w:rPr>
          <w:rFonts w:ascii="Arial" w:cs="Arial" w:eastAsia="Arial" w:hAnsi="Arial"/>
          <w:sz w:val="18"/>
          <w:szCs w:val="18"/>
          <w:color w:val="auto"/>
        </w:rPr>
      </w:pPr>
    </w:p>
    <w:p>
      <w:pPr>
        <w:ind w:left="700" w:hanging="31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Rental Rate Mark-to-Market (cash): (2)-0%;</w:t>
      </w:r>
    </w:p>
    <w:p>
      <w:pPr>
        <w:spacing w:after="0" w:line="225" w:lineRule="exact"/>
        <w:rPr>
          <w:rFonts w:ascii="Arial" w:cs="Arial" w:eastAsia="Arial" w:hAnsi="Arial"/>
          <w:sz w:val="18"/>
          <w:szCs w:val="18"/>
          <w:color w:val="auto"/>
        </w:rPr>
      </w:pPr>
    </w:p>
    <w:p>
      <w:pPr>
        <w:ind w:left="700" w:hanging="31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Same Store (accrual) NOI Range: (1)-1%;</w:t>
      </w:r>
    </w:p>
    <w:p>
      <w:pPr>
        <w:spacing w:after="0" w:line="225" w:lineRule="exact"/>
        <w:rPr>
          <w:rFonts w:ascii="Arial" w:cs="Arial" w:eastAsia="Arial" w:hAnsi="Arial"/>
          <w:sz w:val="18"/>
          <w:szCs w:val="18"/>
          <w:color w:val="auto"/>
        </w:rPr>
      </w:pPr>
    </w:p>
    <w:p>
      <w:pPr>
        <w:ind w:left="700" w:hanging="31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Same Store (cash) NOI Range: 0-2%;</w:t>
      </w:r>
    </w:p>
    <w:p>
      <w:pPr>
        <w:spacing w:after="0" w:line="225" w:lineRule="exact"/>
        <w:rPr>
          <w:rFonts w:ascii="Arial" w:cs="Arial" w:eastAsia="Arial" w:hAnsi="Arial"/>
          <w:sz w:val="18"/>
          <w:szCs w:val="18"/>
          <w:color w:val="auto"/>
        </w:rPr>
      </w:pPr>
    </w:p>
    <w:p>
      <w:pPr>
        <w:ind w:left="700" w:hanging="31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Speculative Revenue Target: $17.0 - $18.0 million, $16.4 million achieved;</w:t>
      </w:r>
    </w:p>
    <w:p>
      <w:pPr>
        <w:spacing w:after="0" w:line="225" w:lineRule="exact"/>
        <w:rPr>
          <w:rFonts w:ascii="Arial" w:cs="Arial" w:eastAsia="Arial" w:hAnsi="Arial"/>
          <w:sz w:val="18"/>
          <w:szCs w:val="18"/>
          <w:color w:val="auto"/>
        </w:rPr>
      </w:pPr>
    </w:p>
    <w:p>
      <w:pPr>
        <w:ind w:left="700" w:hanging="31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Tenant Retention Rate Range: 46-48%;</w:t>
      </w:r>
    </w:p>
    <w:p>
      <w:pPr>
        <w:spacing w:after="0" w:line="225" w:lineRule="exact"/>
        <w:rPr>
          <w:rFonts w:ascii="Arial" w:cs="Arial" w:eastAsia="Arial" w:hAnsi="Arial"/>
          <w:sz w:val="18"/>
          <w:szCs w:val="18"/>
          <w:color w:val="auto"/>
        </w:rPr>
      </w:pPr>
    </w:p>
    <w:p>
      <w:pPr>
        <w:ind w:left="700" w:hanging="31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Property Acquisition Activity: None;</w:t>
      </w:r>
    </w:p>
    <w:p>
      <w:pPr>
        <w:spacing w:after="0" w:line="225" w:lineRule="exact"/>
        <w:rPr>
          <w:rFonts w:ascii="Arial" w:cs="Arial" w:eastAsia="Arial" w:hAnsi="Arial"/>
          <w:sz w:val="18"/>
          <w:szCs w:val="18"/>
          <w:color w:val="auto"/>
        </w:rPr>
      </w:pPr>
    </w:p>
    <w:p>
      <w:pPr>
        <w:ind w:left="700" w:hanging="31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Property Sales Activity: $280.0 - $300.0 million;</w:t>
      </w:r>
    </w:p>
    <w:p>
      <w:pPr>
        <w:spacing w:after="0" w:line="225" w:lineRule="exact"/>
        <w:rPr>
          <w:rFonts w:ascii="Arial" w:cs="Arial" w:eastAsia="Arial" w:hAnsi="Arial"/>
          <w:sz w:val="18"/>
          <w:szCs w:val="18"/>
          <w:color w:val="auto"/>
        </w:rPr>
      </w:pPr>
    </w:p>
    <w:p>
      <w:pPr>
        <w:ind w:left="700" w:hanging="31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 Starts: Redevelopment of one existing Uptown ATX building in Austin, Texas;</w:t>
      </w:r>
    </w:p>
    <w:p>
      <w:pPr>
        <w:spacing w:after="0" w:line="225" w:lineRule="exact"/>
        <w:rPr>
          <w:rFonts w:ascii="Arial" w:cs="Arial" w:eastAsia="Arial" w:hAnsi="Arial"/>
          <w:sz w:val="18"/>
          <w:szCs w:val="18"/>
          <w:color w:val="auto"/>
        </w:rPr>
      </w:pPr>
    </w:p>
    <w:p>
      <w:pPr>
        <w:ind w:left="700" w:hanging="316"/>
        <w:spacing w:after="0" w:line="287" w:lineRule="auto"/>
        <w:tabs>
          <w:tab w:leader="none" w:pos="695"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Financing Activity: Refinance our $178 million 3025 JFK Construction Loan maturing in July 2026 and extend our unsecured credit facility maturing in June 2026;</w:t>
      </w:r>
    </w:p>
    <w:p>
      <w:pPr>
        <w:spacing w:after="0" w:line="152" w:lineRule="exact"/>
        <w:rPr>
          <w:rFonts w:ascii="Arial" w:cs="Arial" w:eastAsia="Arial" w:hAnsi="Arial"/>
          <w:sz w:val="18"/>
          <w:szCs w:val="18"/>
          <w:color w:val="auto"/>
        </w:rPr>
      </w:pPr>
    </w:p>
    <w:p>
      <w:pPr>
        <w:ind w:left="700" w:hanging="31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 Buyback and Bond Repurchase Activity: Will be based on sales activity above;</w:t>
      </w:r>
    </w:p>
    <w:p>
      <w:pPr>
        <w:spacing w:after="0" w:line="225" w:lineRule="exact"/>
        <w:rPr>
          <w:rFonts w:ascii="Arial" w:cs="Arial" w:eastAsia="Arial" w:hAnsi="Arial"/>
          <w:sz w:val="18"/>
          <w:szCs w:val="18"/>
          <w:color w:val="auto"/>
        </w:rPr>
      </w:pPr>
    </w:p>
    <w:p>
      <w:pPr>
        <w:ind w:left="700" w:hanging="31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earnings and FFO per diluted share based on 180.0 million fully diluted weighted average common shares.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Except as outlined in our 2026 Business Plan, which can be located on the Investor Relations page of our website, our estimates do not include (1) possible future gains or losses or the impact on operating results from other possible future property acquisitions or dispositions,</w:t>
      </w:r>
    </w:p>
    <w:p>
      <w:pPr>
        <w:spacing w:after="0" w:line="2" w:lineRule="exact"/>
        <w:rPr>
          <w:sz w:val="20"/>
          <w:szCs w:val="20"/>
          <w:color w:val="auto"/>
        </w:rPr>
      </w:pPr>
    </w:p>
    <w:p>
      <w:pPr>
        <w:jc w:val="both"/>
        <w:ind w:firstLine="8"/>
        <w:spacing w:after="0" w:line="252" w:lineRule="auto"/>
        <w:tabs>
          <w:tab w:leader="none" w:pos="2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impacts of any other capital markets activity, (3) future write-offs or reinstatements of accounts receivable and accrued rent balances, or (4) future impairment charges. EPS estimates may fluctuate based on several factors, including changes in the recognition of depreciation and amortization expense, impairment losses on depreciable real estate, and any gains or losses associated with disposition activity. Management is not able to assess at this time the potential impact of these factors on projected EPS. By definition, FFO does not include real estate-related depreciation and amortization, impairment losses on depreciable real estate, or gains or losses associated with disposition activities or depreciable real estate. For a complete definition of FFO and statements of the reasons why management believes FFO provides useful information to investors, see page 37 in our first quarter Supplemental Information Package. There can be no assurance that our actual results will not differ materially from the estimates set forth above. Our 2026 Business Plan is included in our Supplemental Information Package which can be located on the Investor Relations page of our website.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Brandywine Realty Trust</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Brandywine Realty Trust (NYSE: BDN) is one of the largest, publicly traded, full-service, integrated real estate companies in the United States with a core focus in Philadelphia, PA and Austin, TX. Organized as a real estate investment trust (REIT), we own, develop, lease and manage an urban, town center and transit-oriented portfolio comprising 117 properties and 19.8 million square feet as of March 31, 2026. Our purpose is to shape, connect and inspire the world around us through our expertise, the relationships we foster, the communities in which we live and work, and the history we build together. For more information, please visit </w:t>
      </w:r>
      <w:r>
        <w:rPr>
          <w:rFonts w:ascii="Arial" w:cs="Arial" w:eastAsia="Arial" w:hAnsi="Arial"/>
          <w:sz w:val="18"/>
          <w:szCs w:val="18"/>
          <w:u w:val="single" w:color="auto"/>
          <w:color w:val="0000FF"/>
        </w:rPr>
        <w:t>www.brandywinerealty.com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and Audio Webcast</w:t>
      </w:r>
    </w:p>
    <w:p>
      <w:pPr>
        <w:spacing w:after="0" w:line="22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 xml:space="preserve">After releasing our first quarter earnings after the market close on Wednesday, April 22, 2026, we will hold our first quarter conference call on Thursday, April 23, 2026 at 9:00 a.m. Eastern Time. To access the conference call by phone, please visit this link </w:t>
      </w:r>
      <w:r>
        <w:rPr>
          <w:rFonts w:ascii="Arial" w:cs="Arial" w:eastAsia="Arial" w:hAnsi="Arial"/>
          <w:sz w:val="18"/>
          <w:szCs w:val="18"/>
          <w:u w:val="single" w:color="auto"/>
          <w:color w:val="0000FF"/>
        </w:rPr>
        <w:t>here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you will be provided with dial in details. A live webcast of the conference call will also be available on the Investor Relations page of our website at </w:t>
      </w:r>
      <w:r>
        <w:rPr>
          <w:rFonts w:ascii="Arial" w:cs="Arial" w:eastAsia="Arial" w:hAnsi="Arial"/>
          <w:sz w:val="18"/>
          <w:szCs w:val="18"/>
          <w:u w:val="single" w:color="auto"/>
          <w:color w:val="0000FF"/>
        </w:rPr>
        <w:t>www.brandywinerealty.com</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ectPr>
          <w:pgSz w:w="11900" w:h="16838" w:orient="portrait"/>
          <w:cols w:equalWidth="0" w:num="1">
            <w:col w:w="11240"/>
          </w:cols>
          <w:pgMar w:left="320" w:top="105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Looking Ahead – Second Quarter 2026 Conference Call</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expect to release our second quarter 2026 earnings on Wednesday, July 22, 2026, after the market close and will host our second quarter 2026 conference call on Thursday, July 23, 2026 at 9:00 a.m. Eastern Time. We expect to issue a press release in advance of these events to reconfirm the dates and times and provide all related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Information</w:t>
      </w:r>
    </w:p>
    <w:p>
      <w:pPr>
        <w:spacing w:after="0" w:line="200" w:lineRule="exact"/>
        <w:rPr>
          <w:sz w:val="20"/>
          <w:szCs w:val="20"/>
          <w:color w:val="auto"/>
        </w:rPr>
      </w:pPr>
    </w:p>
    <w:p>
      <w:pPr>
        <w:spacing w:after="0" w:line="2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We produce a Supplemental Information Package that includes details regarding the performance of the portfolio, financial information, non-GAAP financial measures, same-store information and other useful information for investors. The Supplemental Information Package is available via our website, </w:t>
      </w:r>
      <w:r>
        <w:rPr>
          <w:rFonts w:ascii="Arial" w:cs="Arial" w:eastAsia="Arial" w:hAnsi="Arial"/>
          <w:sz w:val="18"/>
          <w:szCs w:val="18"/>
          <w:u w:val="single" w:color="auto"/>
          <w:color w:val="0000FF"/>
        </w:rPr>
        <w:t>www.brandywinerealty.com</w:t>
      </w:r>
      <w:r>
        <w:rPr>
          <w:rFonts w:ascii="Arial" w:cs="Arial" w:eastAsia="Arial" w:hAnsi="Arial"/>
          <w:sz w:val="18"/>
          <w:szCs w:val="18"/>
          <w:color w:val="auto"/>
        </w:rPr>
        <w:t>, through the “Investor Relations” section.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press release contains certain forward-looking statements within the meaning of Section 27A of the Securities Act of 1933, as amended, and Section 21E of the Securities Exchange Act of 1934, as amended. Such forward-looking statements can generally be identified by our use of forward-looking terminology such as “will,” “strategy,” “expects,” “seeks,” “believes,” “potential,” or other similar words. Because such statements involve known and unknown risks, uncertainties and contingencies, actual results may differ materially from the expectations, intentions, beliefs, plans or predictions of the future expressed or implied by such forward-looking statements. These forward-looking statements, including our 2026 Guidance and our 2026 Business Plan and expectations for timing and terms of developments, sales, capital activities, bond repurchases and common share buybacks, are based upon the current beliefs and expectations of our management and are inherently subject to significant business, economic and competitive uncertainties and contingencies, many of which are difficult to predict and not within our control. Such risks, uncertainties and contingencies include, among others: reduced demand for office space and pricing pressures, including from competitors, changes to tenant work patterns that could limit our ability to lease space or set rents at expected levels or that could lead to declines in rent; uncertainty and volatility in capital and credit markets, including changes that reduce availability, and increase costs, of capital or that delay receipt of future debt financings and refinancings; the effect of inflation and interest rate fluctuations, including on the costs of our planned debt financings and refinancings; the potential loss or bankruptcy of tenants or the inability of tenants to meet their rent and other lease obligations; risks of acquisitions and dispositions, including unexpected liabilities and integration costs; delays in completing, and cost overruns incurred in connection with, our developments and redevelopments; disagreements with joint venture partners; unanticipated operating and capital costs; uninsured casualty losses and our ability to obtain adequate insurance, including coverage for terrorist acts; additional asset impairments; our dependence upon certain geographic markets; changes in governmental regulations, tax laws and rates and similar matters; impacts from changes to U.S. trade and foreign relations policies, including the imposition of tariffs; impacts of a U.S. government shutdown; unexpected costs of REIT qualification compliance; costs and disruptions as the result of a cybersecurity incident or other technology disruption; reliance on key personnel; and failure to maintain an effective system of internal control, including internal control over financial reporting. The declaration and payment of future dividends (both timing and amount) is subject to the determination of our Board of Trustees, in its sole discretion, after considering various factors, including our financial condition, historical and forecast operating results, and available cash flow, as well as any applicable laws and contractual covenants and any other relevant factors. Our Board’s practice regarding declaration of dividends may be modified at any time and from time to time. Additional information on factors which could impact us and the forward-looking statements contained herein are included in our filings with the Securities and Exchange Commission, including our Form 10-K for the year ended December 31, 2025. Given the uncertainties, we caution readers not to place undue reliance on forward-looking statements. We assume no obligation to update or supplement forward-looking statements that become untrue because of subsequent events except as required by law.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Supplemental Financial Measures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compute our financial results in accordance with generally accepted accounting principles (GAAP). Although FFO and NOI are non-GAAP financial measures, we believe that FFO and NOI calculations are helpful to shareholders and potential investors and are widely recognized measures of real estate investment trust performance. At the end of this press release, we have provided a reconciliation of the non-GAAP financial measures to the most directly comparable GAAP measure.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ectPr>
          <w:pgSz w:w="11900" w:h="16838" w:orient="portrait"/>
          <w:cols w:equalWidth="0" w:num="1">
            <w:col w:w="11240"/>
          </w:cols>
          <w:pgMar w:left="320" w:top="892"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u w:val="single" w:color="auto"/>
          <w:color w:val="auto"/>
        </w:rPr>
        <w:t>Funds from Operations (FFO)</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compute FFO in accordance with standards established by the National Association of Real Estate Investment Trusts (NAREIT), which may not be comparable to FFO reported by other REITs that do not compute FFO in accordance with the NAREIT definition, or that interpret the NAREIT definition differently than us. NAREIT defines FFO as net income (loss) before non-controlling interests of common unit holders and excluding gains (losses) on sales of depreciable operating property, impairment losses on depreciable consolidated real estate, impairment losses on investments in unconsolidated real estate ventures and extraordinary items (computed in accordance with GAAP); plus real estate related depreciation and amortization (excluding amortization of deferred financing costs), and after similar adjustments for unconsolidated joint ventures. Net income, the GAAP measure that we believe to be most directly comparable to FFO, includes depreciation and amortization expenses, gains or losses on property sales, extraordinary items and non-controlling interests. To facilitate a clear understanding of our historical operating results, FFO should be examined in conjunction with net income (determined in accordance with GAAP) as presented in the financial statements included elsewhere in this release. FFO does not represent cash flow from operating activities (determined in accordance with GAAP) and should not be considered to be an alternative to net income (loss) (determined in accordance with GAAP) as an indication of our financial performance or to be an alternative to cash flow from operating activities (determined in accordance with GAAP) as a measure of our liquidity, nor is it indicative of funds available for our cash needs, including our ability to make cash distributions to shareholders. We generally consider FFO and FFO per share to be useful measures for understanding and comparing our operating results because, by excluding gains and losses related to sales of previously depreciated operating real estate assets, impairment losses and real estate asset depreciation and amortization (which can differ across owners of similar assets in similar condition based on historical cost accounting and useful life estimates), FFO and FFO per share can help investors compare the operating performance of a company’s real estate across reporting periods and to the operating performance of other companies.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Operating Income (NOI)</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NOI (accrual basis) is a Non-GAAP financial measure equal to net income available to common shareholders, the most directly comparable GAAP financial measure, plus corporate general and administrative expense, depreciation and amortization, interest expense, non-controlling interest in the Operating Partnership and losses from early extinguishment of debt, less interest income, development and management income, gains from property dispositions, gains on sale from discontinued operations, gains on early extinguishment of debt, income from discontinued operations, income from unconsolidated joint ventures and non-controlling interest in property partnerships. In some cases we also present NOI on a cash basis, which is NOI after eliminating the effects of straight-lining of rent and deferred market intangible amortization. NOI presented by us may not be comparable to NOI reported by other REITs that define NOI differently. NOI should not be considered an alternative to net income as an indication of our performance or to cash flows as a measure of the Company's liquidity or its ability to make distributions. We believe NOI is a useful measure for evaluating the operating performance of our properties, as it excludes certain components from net income available to common shareholders in order to provide results that are more closely related to a property's results of operations. We use NOI internally to evaluate the performance of our operating segments and to make decisions about resource allocations. We concluded that NOI provides useful information to investors regarding our financial condition and results of operations, as it reflects only the income and expense items incurred at the property level, as well as the impact on operations from trends in occupancy rates, rental rates, operating costs and acquisition and development activity on an unlevered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Same Store Properties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analysis of NOI, particularly to make comparisons of NOI between periods meaningful, it is important to provide information for properties that were in-service and owned by us throughout each period presented. We refer to properties acquired or placed in-service prior to the beginning of the earliest period presented and owned by us through the end of the latest period presented as Same Store Properties. Same Store Properties therefore exclude properties placed in-service, acquired, repositioned, held for sale or in development or redevelopment after the beginning of the earliest period presented or disposed of prior to the end of the latest period presented. Accordingly, it takes at least one year and one quarter after a property is acquired for that property to be included in Same Store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- 5 -</w:t>
      </w:r>
    </w:p>
    <w:p>
      <w:pPr>
        <w:sectPr>
          <w:pgSz w:w="11900" w:h="16838" w:orient="portrait"/>
          <w:cols w:equalWidth="0" w:num="1">
            <w:col w:w="11240"/>
          </w:cols>
          <w:pgMar w:left="320" w:top="135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u w:val="single" w:color="auto"/>
          <w:color w:val="auto"/>
        </w:rPr>
        <w:t>Core Portfolio</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core portfolio is comprised of our wholly owned properties, excluding any properties currently in development, re-development or recently completed, not yet stabilized or held for sale.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Speculative 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Speculative Revenue represents the amount of rental revenue the company projects to be recorded during the current calendar year from new and renewal leasing activity in its core portfolio that has yet to be executed as of the beginning of the year. This revenue is primarily attributable to the absorption of core portfolio square footage that was either vacant at the beginning of the year or the renewal of existing tenants due to expire during the current year.</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- 6 -</w:t>
      </w:r>
    </w:p>
    <w:p>
      <w:pPr>
        <w:sectPr>
          <w:pgSz w:w="11900" w:h="16838" w:orient="portrait"/>
          <w:cols w:equalWidth="0" w:num="1">
            <w:col w:w="11240"/>
          </w:cols>
          <w:pgMar w:left="320" w:top="1351" w:right="339" w:bottom="1440" w:gutter="0" w:footer="0" w:header="0"/>
        </w:sectPr>
      </w:pPr>
    </w:p>
    <w:bookmarkStart w:id="9" w:name="page10"/>
    <w:bookmarkEnd w:id="9"/>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BRANDYWINE REALTY TRUST</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i w:val="1"/>
          <w:iCs w:val="1"/>
          <w:color w:val="auto"/>
        </w:rPr>
        <w:t>(unaudited, in thousands,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March 31, 2026</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December 31, 2025</w:t>
            </w:r>
          </w:p>
        </w:tc>
        <w:tc>
          <w:tcPr>
            <w:tcW w:w="0" w:type="dxa"/>
            <w:vAlign w:val="bottom"/>
          </w:tcPr>
          <w:p>
            <w:pPr>
              <w:spacing w:after="0"/>
              <w:rPr>
                <w:sz w:val="1"/>
                <w:szCs w:val="1"/>
                <w:color w:val="auto"/>
              </w:rPr>
            </w:pPr>
          </w:p>
        </w:tc>
      </w:tr>
      <w:tr>
        <w:trPr>
          <w:trHeight w:val="17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Real estate investments: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Operating properties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3,724,851</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3,753,780</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Accumulated depreciation</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(1,279,283)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(1,259,090)</w:t>
            </w:r>
          </w:p>
        </w:tc>
        <w:tc>
          <w:tcPr>
            <w:tcW w:w="0" w:type="dxa"/>
            <w:vAlign w:val="bottom"/>
          </w:tcPr>
          <w:p>
            <w:pPr>
              <w:spacing w:after="0"/>
              <w:rPr>
                <w:sz w:val="1"/>
                <w:szCs w:val="1"/>
                <w:color w:val="auto"/>
              </w:rPr>
            </w:pP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ground leases, net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51,236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51,399</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Right of use asset - operating leases, net</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17,806</w:t>
            </w:r>
          </w:p>
        </w:tc>
        <w:tc>
          <w:tcPr>
            <w:tcW w:w="0" w:type="dxa"/>
            <w:vAlign w:val="bottom"/>
          </w:tcPr>
          <w:p>
            <w:pPr>
              <w:spacing w:after="0"/>
              <w:rPr>
                <w:sz w:val="1"/>
                <w:szCs w:val="1"/>
                <w:color w:val="auto"/>
              </w:rPr>
            </w:pPr>
          </w:p>
        </w:tc>
      </w:tr>
      <w:tr>
        <w:trPr>
          <w:trHeight w:val="189"/>
        </w:trPr>
        <w:tc>
          <w:tcPr>
            <w:tcW w:w="77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Operating real estate investments, net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2,514,461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2,563,895</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Construction-in-progress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123,659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118,543</w:t>
            </w:r>
          </w:p>
        </w:tc>
        <w:tc>
          <w:tcPr>
            <w:tcW w:w="0" w:type="dxa"/>
            <w:vAlign w:val="bottom"/>
          </w:tcPr>
          <w:p>
            <w:pPr>
              <w:spacing w:after="0"/>
              <w:rPr>
                <w:sz w:val="1"/>
                <w:szCs w:val="1"/>
                <w:color w:val="auto"/>
              </w:rPr>
            </w:pP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Land held for development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72,110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70,405</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Prepaid leasehold interests in land held for development, net</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27,762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27,762</w:t>
            </w:r>
          </w:p>
        </w:tc>
        <w:tc>
          <w:tcPr>
            <w:tcW w:w="0" w:type="dxa"/>
            <w:vAlign w:val="bottom"/>
          </w:tcPr>
          <w:p>
            <w:pPr>
              <w:spacing w:after="0"/>
              <w:rPr>
                <w:sz w:val="1"/>
                <w:szCs w:val="1"/>
                <w:color w:val="auto"/>
              </w:rPr>
            </w:pPr>
          </w:p>
        </w:tc>
      </w:tr>
      <w:tr>
        <w:trPr>
          <w:trHeight w:val="189"/>
        </w:trPr>
        <w:tc>
          <w:tcPr>
            <w:tcW w:w="77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real estate investments, net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2,737,992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2,780,605</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36,203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32,284</w:t>
            </w:r>
          </w:p>
        </w:tc>
        <w:tc>
          <w:tcPr>
            <w:tcW w:w="0" w:type="dxa"/>
            <w:vAlign w:val="bottom"/>
          </w:tcPr>
          <w:p>
            <w:pPr>
              <w:spacing w:after="0"/>
              <w:rPr>
                <w:sz w:val="1"/>
                <w:szCs w:val="1"/>
                <w:color w:val="auto"/>
              </w:rPr>
            </w:pP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cash and escrow</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30,018</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23,370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22,154</w:t>
            </w:r>
          </w:p>
        </w:tc>
        <w:tc>
          <w:tcPr>
            <w:tcW w:w="0" w:type="dxa"/>
            <w:vAlign w:val="bottom"/>
          </w:tcPr>
          <w:p>
            <w:pPr>
              <w:spacing w:after="0"/>
              <w:rPr>
                <w:sz w:val="1"/>
                <w:szCs w:val="1"/>
                <w:color w:val="auto"/>
              </w:rPr>
            </w:pP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Assets held for sale, net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rent receivable, net of allowance of $424 as of March 31, 2026 and December 31, 2025</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184,220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182,651</w:t>
            </w:r>
          </w:p>
        </w:tc>
        <w:tc>
          <w:tcPr>
            <w:tcW w:w="0" w:type="dxa"/>
            <w:vAlign w:val="bottom"/>
          </w:tcPr>
          <w:p>
            <w:pPr>
              <w:spacing w:after="0"/>
              <w:rPr>
                <w:sz w:val="1"/>
                <w:szCs w:val="1"/>
                <w:color w:val="auto"/>
              </w:rPr>
            </w:pP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 unconsolidated real estate ventures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321,534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314,326</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costs,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81,143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79,549</w:t>
            </w:r>
          </w:p>
        </w:tc>
        <w:tc>
          <w:tcPr>
            <w:tcW w:w="0" w:type="dxa"/>
            <w:vAlign w:val="bottom"/>
          </w:tcPr>
          <w:p>
            <w:pPr>
              <w:spacing w:after="0"/>
              <w:rPr>
                <w:sz w:val="1"/>
                <w:szCs w:val="1"/>
                <w:color w:val="auto"/>
              </w:rPr>
            </w:pP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20,739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22,426</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137,170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122,227</w:t>
            </w:r>
          </w:p>
        </w:tc>
        <w:tc>
          <w:tcPr>
            <w:tcW w:w="0" w:type="dxa"/>
            <w:vAlign w:val="bottom"/>
          </w:tcPr>
          <w:p>
            <w:pPr>
              <w:spacing w:after="0"/>
              <w:rPr>
                <w:sz w:val="1"/>
                <w:szCs w:val="1"/>
                <w:color w:val="auto"/>
              </w:rPr>
            </w:pPr>
          </w:p>
        </w:tc>
      </w:tr>
      <w:tr>
        <w:trPr>
          <w:trHeight w:val="203"/>
        </w:trPr>
        <w:tc>
          <w:tcPr>
            <w:tcW w:w="77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3,587,847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3,586,240</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BENEFICIARIES' EQUITY</w:t>
            </w:r>
          </w:p>
        </w:tc>
        <w:tc>
          <w:tcPr>
            <w:tcW w:w="2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Secured debt, net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234,091</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234,079</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Unsecured credit facility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Unsecured term loan, net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249,491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249,389</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Unsecured senior notes,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2,073,656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2,073,394</w:t>
            </w:r>
          </w:p>
        </w:tc>
        <w:tc>
          <w:tcPr>
            <w:tcW w:w="0" w:type="dxa"/>
            <w:vAlign w:val="bottom"/>
          </w:tcPr>
          <w:p>
            <w:pPr>
              <w:spacing w:after="0"/>
              <w:rPr>
                <w:sz w:val="1"/>
                <w:szCs w:val="1"/>
                <w:color w:val="auto"/>
              </w:rPr>
            </w:pP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141,933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143,826</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Distributions payable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14,108</w:t>
            </w:r>
          </w:p>
        </w:tc>
        <w:tc>
          <w:tcPr>
            <w:tcW w:w="0" w:type="dxa"/>
            <w:vAlign w:val="bottom"/>
          </w:tcPr>
          <w:p>
            <w:pPr>
              <w:spacing w:after="0"/>
              <w:rPr>
                <w:sz w:val="1"/>
                <w:szCs w:val="1"/>
                <w:color w:val="auto"/>
              </w:rPr>
            </w:pP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gains and rent</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22,569</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Intangible liabilities,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12,713</w:t>
            </w:r>
          </w:p>
        </w:tc>
        <w:tc>
          <w:tcPr>
            <w:tcW w:w="0" w:type="dxa"/>
            <w:vAlign w:val="bottom"/>
          </w:tcPr>
          <w:p>
            <w:pPr>
              <w:spacing w:after="0"/>
              <w:rPr>
                <w:sz w:val="1"/>
                <w:szCs w:val="1"/>
                <w:color w:val="auto"/>
              </w:rPr>
            </w:pPr>
          </w:p>
        </w:tc>
      </w:tr>
      <w:tr>
        <w:trPr>
          <w:trHeight w:val="195"/>
        </w:trPr>
        <w:tc>
          <w:tcPr>
            <w:tcW w:w="77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Lease liability - operating leases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23,764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23,720</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13,133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14,588</w:t>
            </w:r>
          </w:p>
        </w:tc>
        <w:tc>
          <w:tcPr>
            <w:tcW w:w="0" w:type="dxa"/>
            <w:vAlign w:val="bottom"/>
          </w:tcPr>
          <w:p>
            <w:pPr>
              <w:spacing w:after="0"/>
              <w:rPr>
                <w:sz w:val="1"/>
                <w:szCs w:val="1"/>
                <w:color w:val="auto"/>
              </w:rPr>
            </w:pPr>
          </w:p>
        </w:tc>
      </w:tr>
      <w:tr>
        <w:trPr>
          <w:trHeight w:val="203"/>
        </w:trPr>
        <w:tc>
          <w:tcPr>
            <w:tcW w:w="77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2,848,655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2,788,386</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Brandywine Realty Trust's Equity:</w:t>
            </w:r>
          </w:p>
        </w:tc>
        <w:tc>
          <w:tcPr>
            <w:tcW w:w="2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Common Shares of Brandywine Realty Trust's beneficial interest, $0.01 par value; shares authorized 400,000,000; 173,711,845</w:t>
            </w:r>
          </w:p>
        </w:tc>
        <w:tc>
          <w:tcPr>
            <w:tcW w:w="240" w:type="dxa"/>
            <w:vAlign w:val="bottom"/>
          </w:tcPr>
          <w:p>
            <w:pPr>
              <w:spacing w:after="0"/>
              <w:rPr>
                <w:sz w:val="12"/>
                <w:szCs w:val="12"/>
                <w:color w:val="auto"/>
              </w:rPr>
            </w:pPr>
          </w:p>
        </w:tc>
        <w:tc>
          <w:tcPr>
            <w:tcW w:w="14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1,733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193"/>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173,699,039 issued and outstanding as of March 31, 2026 and December 31, 2025, respectively</w:t>
            </w:r>
          </w:p>
        </w:tc>
        <w:tc>
          <w:tcPr>
            <w:tcW w:w="2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3,202,662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3,199,838</w:t>
            </w:r>
          </w:p>
        </w:tc>
        <w:tc>
          <w:tcPr>
            <w:tcW w:w="0" w:type="dxa"/>
            <w:vAlign w:val="bottom"/>
          </w:tcPr>
          <w:p>
            <w:pPr>
              <w:spacing w:after="0"/>
              <w:rPr>
                <w:sz w:val="1"/>
                <w:szCs w:val="1"/>
                <w:color w:val="auto"/>
              </w:rPr>
            </w:pP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compensation payable in common shares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23,069</w:t>
            </w:r>
          </w:p>
        </w:tc>
        <w:tc>
          <w:tcPr>
            <w:tcW w:w="0" w:type="dxa"/>
            <w:vAlign w:val="bottom"/>
          </w:tcPr>
          <w:p>
            <w:pPr>
              <w:spacing w:after="0"/>
              <w:rPr>
                <w:sz w:val="1"/>
                <w:szCs w:val="1"/>
                <w:color w:val="auto"/>
              </w:rPr>
            </w:pPr>
          </w:p>
        </w:tc>
      </w:tr>
      <w:tr>
        <w:trPr>
          <w:trHeight w:val="146"/>
        </w:trPr>
        <w:tc>
          <w:tcPr>
            <w:tcW w:w="77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Common shares in grantor trust, 1,947,350 and 1,583,000 issued and outstanding as of March 31, 2026 and December 31, 2025,</w:t>
            </w:r>
          </w:p>
        </w:tc>
        <w:tc>
          <w:tcPr>
            <w:tcW w:w="24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(23,069)</w:t>
            </w:r>
          </w:p>
        </w:tc>
        <w:tc>
          <w:tcPr>
            <w:tcW w:w="0" w:type="dxa"/>
            <w:vAlign w:val="bottom"/>
          </w:tcPr>
          <w:p>
            <w:pPr>
              <w:spacing w:after="0"/>
              <w:rPr>
                <w:sz w:val="1"/>
                <w:szCs w:val="1"/>
                <w:color w:val="auto"/>
              </w:rPr>
            </w:pPr>
          </w:p>
        </w:tc>
      </w:tr>
      <w:tr>
        <w:trPr>
          <w:trHeight w:val="198"/>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Cumulative earnings</w:t>
            </w:r>
          </w:p>
        </w:tc>
        <w:tc>
          <w:tcPr>
            <w:tcW w:w="240" w:type="dxa"/>
            <w:vAlign w:val="bottom"/>
          </w:tcPr>
          <w:p>
            <w:pPr>
              <w:spacing w:after="0"/>
              <w:rPr>
                <w:sz w:val="16"/>
                <w:szCs w:val="16"/>
                <w:color w:val="auto"/>
              </w:rPr>
            </w:pPr>
          </w:p>
        </w:tc>
        <w:tc>
          <w:tcPr>
            <w:tcW w:w="1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556,661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605,252</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Cumulative distributions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(3,026,869)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(3,012,654)</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Brandywine Realty Trust's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734,313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792,732</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4,879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5,122</w:t>
            </w: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Total beneficiaries'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739,192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797,854</w:t>
            </w:r>
          </w:p>
        </w:tc>
        <w:tc>
          <w:tcPr>
            <w:tcW w:w="0" w:type="dxa"/>
            <w:vAlign w:val="bottom"/>
          </w:tcPr>
          <w:p>
            <w:pPr>
              <w:spacing w:after="0"/>
              <w:rPr>
                <w:sz w:val="1"/>
                <w:szCs w:val="1"/>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 and beneficiaries' equity</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3,587,847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3,586,240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- 7 -</w:t>
      </w:r>
    </w:p>
    <w:p>
      <w:pPr>
        <w:sectPr>
          <w:pgSz w:w="11900" w:h="16838" w:orient="portrait"/>
          <w:cols w:equalWidth="0" w:num="1">
            <w:col w:w="11140"/>
          </w:cols>
          <w:pgMar w:left="320" w:top="884" w:right="4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BRANDYWINE REALTY TRUST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 in thousands, except share and per share data)</w:t>
      </w:r>
    </w:p>
    <w:p>
      <w:pPr>
        <w:spacing w:after="0" w:line="150"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32385</wp:posOffset>
            </wp:positionV>
            <wp:extent cx="18859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Rents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114,428</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Third party management fees, labor reimbursement and leasing</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0" w:type="dxa"/>
            <w:vAlign w:val="bottom"/>
          </w:tcPr>
          <w:p>
            <w:pPr>
              <w:spacing w:after="0"/>
              <w:rPr>
                <w:sz w:val="1"/>
                <w:szCs w:val="1"/>
                <w:color w:val="auto"/>
              </w:rPr>
            </w:pPr>
          </w:p>
        </w:tc>
      </w:tr>
      <w:tr>
        <w:trPr>
          <w:trHeight w:val="189"/>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127,004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121,516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operating expenses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33,526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Real estate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Third party management expenses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2,633</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44,353</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impairment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125,494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109,414</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Gain on sale of real estate</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on disposition of real estate</w:t>
            </w: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3,059</w:t>
            </w:r>
          </w:p>
        </w:tc>
        <w:tc>
          <w:tcPr>
            <w:tcW w:w="0" w:type="dxa"/>
            <w:vAlign w:val="bottom"/>
          </w:tcPr>
          <w:p>
            <w:pPr>
              <w:spacing w:after="0"/>
              <w:rPr>
                <w:sz w:val="1"/>
                <w:szCs w:val="1"/>
                <w:color w:val="auto"/>
              </w:rPr>
            </w:pPr>
          </w:p>
        </w:tc>
      </w:tr>
      <w:tr>
        <w:trPr>
          <w:trHeight w:val="203"/>
        </w:trPr>
        <w:tc>
          <w:tcPr>
            <w:tcW w:w="82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gain on sale of real estate</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15,161</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(31,845)</w:t>
            </w:r>
          </w:p>
        </w:tc>
        <w:tc>
          <w:tcPr>
            <w:tcW w:w="0" w:type="dxa"/>
            <w:vAlign w:val="bottom"/>
          </w:tcPr>
          <w:p>
            <w:pPr>
              <w:spacing w:after="0"/>
              <w:rPr>
                <w:sz w:val="1"/>
                <w:szCs w:val="1"/>
                <w:color w:val="auto"/>
              </w:rPr>
            </w:pPr>
          </w:p>
        </w:tc>
      </w:tr>
      <w:tr>
        <w:trPr>
          <w:trHeight w:val="195"/>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 amortization of deferred financing costs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in loss of unconsolidated real estate ventures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(10,511)</w:t>
            </w:r>
          </w:p>
        </w:tc>
        <w:tc>
          <w:tcPr>
            <w:tcW w:w="0" w:type="dxa"/>
            <w:vAlign w:val="bottom"/>
          </w:tcPr>
          <w:p>
            <w:pPr>
              <w:spacing w:after="0"/>
              <w:rPr>
                <w:sz w:val="1"/>
                <w:szCs w:val="1"/>
                <w:color w:val="auto"/>
              </w:rPr>
            </w:pPr>
          </w:p>
        </w:tc>
      </w:tr>
      <w:tr>
        <w:trPr>
          <w:trHeight w:val="196"/>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on real estate venture transactions</w:t>
            </w: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0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before income taxes</w:t>
            </w: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(27,056)</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tax provision</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(27,056)</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Brandywine Realty Trust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(26,975)</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Nonforfeitable dividends allocated to unvested restricted shareholders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Common Shareholders of Brandywine Realty Trust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(27,404)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2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loss per Common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Basic weighted average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173,756,736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172,915,482</w:t>
            </w:r>
          </w:p>
        </w:tc>
        <w:tc>
          <w:tcPr>
            <w:tcW w:w="0" w:type="dxa"/>
            <w:vAlign w:val="bottom"/>
          </w:tcPr>
          <w:p>
            <w:pPr>
              <w:spacing w:after="0"/>
              <w:rPr>
                <w:sz w:val="1"/>
                <w:szCs w:val="1"/>
                <w:color w:val="auto"/>
              </w:rPr>
            </w:pPr>
          </w:p>
        </w:tc>
      </w:tr>
      <w:tr>
        <w:trPr>
          <w:trHeight w:val="235"/>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loss per Common Share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173,756,736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172,915,482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- 8 -</w:t>
      </w:r>
    </w:p>
    <w:p>
      <w:pPr>
        <w:sectPr>
          <w:pgSz w:w="11900" w:h="16838" w:orient="portrait"/>
          <w:cols w:equalWidth="0" w:num="1">
            <w:col w:w="11240"/>
          </w:cols>
          <w:pgMar w:left="320" w:top="8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BRANDYWINE REALTY TRUST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FUNDS FROM OPERATIONS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 in thousands, except share and per share data)</w:t>
      </w:r>
    </w:p>
    <w:p>
      <w:pPr>
        <w:spacing w:after="0" w:line="150"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32385</wp:posOffset>
            </wp:positionV>
            <wp:extent cx="20231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95"/>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common shareholders</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(48,909)</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(27,404)</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 (deduct):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attributable to noncontrolling interests - LP units</w:t>
            </w:r>
          </w:p>
        </w:tc>
        <w:tc>
          <w:tcPr>
            <w:tcW w:w="360" w:type="dxa"/>
            <w:vAlign w:val="bottom"/>
          </w:tcPr>
          <w:p>
            <w:pPr>
              <w:spacing w:after="0"/>
              <w:rPr>
                <w:sz w:val="16"/>
                <w:szCs w:val="16"/>
                <w:color w:val="auto"/>
              </w:rPr>
            </w:pPr>
          </w:p>
        </w:tc>
        <w:tc>
          <w:tcPr>
            <w:tcW w:w="11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Nonforfeitable dividends allocated to unvested restricted shareholders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429</w:t>
            </w:r>
          </w:p>
        </w:tc>
        <w:tc>
          <w:tcPr>
            <w:tcW w:w="0" w:type="dxa"/>
            <w:vAlign w:val="bottom"/>
          </w:tcPr>
          <w:p>
            <w:pPr>
              <w:spacing w:after="0"/>
              <w:rPr>
                <w:sz w:val="1"/>
                <w:szCs w:val="1"/>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on real estate venture transactions</w:t>
            </w:r>
          </w:p>
        </w:tc>
        <w:tc>
          <w:tcPr>
            <w:tcW w:w="360" w:type="dxa"/>
            <w:vAlign w:val="bottom"/>
          </w:tcPr>
          <w:p>
            <w:pPr>
              <w:spacing w:after="0"/>
              <w:rPr>
                <w:sz w:val="16"/>
                <w:szCs w:val="16"/>
                <w:color w:val="auto"/>
              </w:rPr>
            </w:pPr>
          </w:p>
        </w:tc>
        <w:tc>
          <w:tcPr>
            <w:tcW w:w="11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gain on disposition of real estate</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(3,059)</w:t>
            </w:r>
          </w:p>
        </w:tc>
        <w:tc>
          <w:tcPr>
            <w:tcW w:w="0" w:type="dxa"/>
            <w:vAlign w:val="bottom"/>
          </w:tcPr>
          <w:p>
            <w:pPr>
              <w:spacing w:after="0"/>
              <w:rPr>
                <w:sz w:val="1"/>
                <w:szCs w:val="1"/>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Provision for impairment</w:t>
            </w:r>
          </w:p>
        </w:tc>
        <w:tc>
          <w:tcPr>
            <w:tcW w:w="360" w:type="dxa"/>
            <w:vAlign w:val="bottom"/>
          </w:tcPr>
          <w:p>
            <w:pPr>
              <w:spacing w:after="0"/>
              <w:rPr>
                <w:sz w:val="16"/>
                <w:szCs w:val="16"/>
                <w:color w:val="auto"/>
              </w:rPr>
            </w:pPr>
          </w:p>
        </w:tc>
        <w:tc>
          <w:tcPr>
            <w:tcW w:w="11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11,909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Real property</w:t>
            </w:r>
          </w:p>
        </w:tc>
        <w:tc>
          <w:tcPr>
            <w:tcW w:w="360" w:type="dxa"/>
            <w:vAlign w:val="bottom"/>
          </w:tcPr>
          <w:p>
            <w:pPr>
              <w:spacing w:after="0"/>
              <w:rPr>
                <w:sz w:val="16"/>
                <w:szCs w:val="16"/>
                <w:color w:val="auto"/>
              </w:rPr>
            </w:pPr>
          </w:p>
        </w:tc>
        <w:tc>
          <w:tcPr>
            <w:tcW w:w="11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42,654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38,729</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Leasing costs including acquired intangibles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5,704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4,815</w:t>
            </w:r>
          </w:p>
        </w:tc>
        <w:tc>
          <w:tcPr>
            <w:tcW w:w="0" w:type="dxa"/>
            <w:vAlign w:val="bottom"/>
          </w:tcPr>
          <w:p>
            <w:pPr>
              <w:spacing w:after="0"/>
              <w:rPr>
                <w:sz w:val="1"/>
                <w:szCs w:val="1"/>
                <w:color w:val="auto"/>
              </w:rPr>
            </w:pPr>
          </w:p>
        </w:tc>
      </w:tr>
      <w:tr>
        <w:trPr>
          <w:trHeight w:val="195"/>
        </w:trPr>
        <w:tc>
          <w:tcPr>
            <w:tcW w:w="80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Company’s share of unconsolidated real estate ventures</w:t>
            </w:r>
          </w:p>
        </w:tc>
        <w:tc>
          <w:tcPr>
            <w:tcW w:w="360" w:type="dxa"/>
            <w:vAlign w:val="bottom"/>
          </w:tcPr>
          <w:p>
            <w:pPr>
              <w:spacing w:after="0"/>
              <w:rPr>
                <w:sz w:val="16"/>
                <w:szCs w:val="16"/>
                <w:color w:val="auto"/>
              </w:rPr>
            </w:pPr>
          </w:p>
        </w:tc>
        <w:tc>
          <w:tcPr>
            <w:tcW w:w="11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8,733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11,436</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Partners’ share of consolidated real estate ventures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Funds from operations</w:t>
            </w:r>
          </w:p>
        </w:tc>
        <w:tc>
          <w:tcPr>
            <w:tcW w:w="360" w:type="dxa"/>
            <w:vAlign w:val="bottom"/>
          </w:tcPr>
          <w:p>
            <w:pPr>
              <w:spacing w:after="0"/>
              <w:rPr>
                <w:sz w:val="16"/>
                <w:szCs w:val="16"/>
                <w:color w:val="auto"/>
              </w:rPr>
            </w:pPr>
          </w:p>
        </w:tc>
        <w:tc>
          <w:tcPr>
            <w:tcW w:w="11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20,409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24,968</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Funds from operations allocable to unvested restricted shareholders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89"/>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Funds from operations available to common share and unit holders (FFO)</w:t>
            </w: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20,023</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24,663</w:t>
            </w:r>
          </w:p>
        </w:tc>
        <w:tc>
          <w:tcPr>
            <w:tcW w:w="0" w:type="dxa"/>
            <w:vAlign w:val="bottom"/>
          </w:tcPr>
          <w:p>
            <w:pPr>
              <w:spacing w:after="0"/>
              <w:rPr>
                <w:sz w:val="1"/>
                <w:szCs w:val="1"/>
                <w:color w:val="auto"/>
              </w:rPr>
            </w:pPr>
          </w:p>
        </w:tc>
      </w:tr>
      <w:tr>
        <w:trPr>
          <w:trHeight w:val="21"/>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FFO per share - fully diluted</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shares/units outstanding — fully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180,721,719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178,473,873</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Distributions paid per common share</w:t>
            </w: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82"/>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FFO payout ratio (distributions paid per common share/FFO per diluted share)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- 9 -</w:t>
      </w:r>
    </w:p>
    <w:p>
      <w:pPr>
        <w:sectPr>
          <w:pgSz w:w="11900" w:h="16838" w:orient="portrait"/>
          <w:cols w:equalWidth="0" w:num="1">
            <w:col w:w="11240"/>
          </w:cols>
          <w:pgMar w:left="320" w:top="884"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BRANDYWINE REALTY TRUST</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SAME STORE OPERATIONS – 1st QUARTER</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(unaudited and in thousands)</w:t>
      </w:r>
    </w:p>
    <w:p>
      <w:pPr>
        <w:spacing w:after="0" w:line="20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4"/>
          <w:szCs w:val="14"/>
          <w:color w:val="auto"/>
        </w:rPr>
        <w:t>Of the 64 properties owned by the Company as of March 31, 2026, a total of 59 properties ("Same Store Properties") containing an aggregate of 11.2 million net rentable square feet were owned for the entire three months ended March 31, 2026 and 2025. As of March 31, 2026, two properties were recently completed and three properties were in development/redevelopment. The Same Store Properties were 88.3% and 88.8% occupied as of March 31, 2026 and 2025, respectively. The following table sets forth revenue and expense information for the Same Store Properties:</w:t>
      </w:r>
    </w:p>
    <w:p>
      <w:pPr>
        <w:spacing w:after="0" w:line="83"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color w:val="auto"/>
        </w:rPr>
        <w:t>Three Months Ended March 31,</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7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Rents</w:t>
            </w:r>
          </w:p>
        </w:tc>
        <w:tc>
          <w:tcPr>
            <w:tcW w:w="106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108,153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105,307</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0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w:t>
            </w: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108,363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105,544</w:t>
            </w:r>
          </w:p>
        </w:tc>
        <w:tc>
          <w:tcPr>
            <w:tcW w:w="0" w:type="dxa"/>
            <w:vAlign w:val="bottom"/>
          </w:tcPr>
          <w:p>
            <w:pPr>
              <w:spacing w:after="0"/>
              <w:rPr>
                <w:sz w:val="1"/>
                <w:szCs w:val="1"/>
                <w:color w:val="auto"/>
              </w:rPr>
            </w:pPr>
          </w:p>
        </w:tc>
      </w:tr>
      <w:tr>
        <w:trPr>
          <w:trHeight w:val="196"/>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0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Property operating expenses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30,972</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28,545</w:t>
            </w:r>
          </w:p>
        </w:tc>
        <w:tc>
          <w:tcPr>
            <w:tcW w:w="0" w:type="dxa"/>
            <w:vAlign w:val="bottom"/>
          </w:tcPr>
          <w:p>
            <w:pPr>
              <w:spacing w:after="0"/>
              <w:rPr>
                <w:sz w:val="1"/>
                <w:szCs w:val="1"/>
                <w:color w:val="auto"/>
              </w:rPr>
            </w:pPr>
          </w:p>
        </w:tc>
      </w:tr>
      <w:tr>
        <w:trPr>
          <w:trHeight w:val="196"/>
        </w:trPr>
        <w:tc>
          <w:tcPr>
            <w:tcW w:w="7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Real estate taxes</w:t>
            </w:r>
          </w:p>
        </w:tc>
        <w:tc>
          <w:tcPr>
            <w:tcW w:w="10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10,371</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10,086</w:t>
            </w:r>
          </w:p>
        </w:tc>
        <w:tc>
          <w:tcPr>
            <w:tcW w:w="0" w:type="dxa"/>
            <w:vAlign w:val="bottom"/>
          </w:tcPr>
          <w:p>
            <w:pPr>
              <w:spacing w:after="0"/>
              <w:rPr>
                <w:sz w:val="1"/>
                <w:szCs w:val="1"/>
                <w:color w:val="auto"/>
              </w:rPr>
            </w:pPr>
          </w:p>
        </w:tc>
      </w:tr>
      <w:tr>
        <w:trPr>
          <w:trHeight w:val="228"/>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operating income</w:t>
            </w:r>
          </w:p>
        </w:tc>
        <w:tc>
          <w:tcPr>
            <w:tcW w:w="106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67,020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66,913</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 operating income - percentage change over prior year</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0.2 %</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Net operating income, excluding other items (1)</w:t>
            </w:r>
          </w:p>
        </w:tc>
        <w:tc>
          <w:tcPr>
            <w:tcW w:w="106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66,785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66,279</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 operating income, excluding other items - percentage change over prior year</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6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0.8 %</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income</w:t>
            </w:r>
          </w:p>
        </w:tc>
        <w:tc>
          <w:tcPr>
            <w:tcW w:w="106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67,020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66,913</w:t>
            </w:r>
          </w:p>
        </w:tc>
        <w:tc>
          <w:tcPr>
            <w:tcW w:w="0" w:type="dxa"/>
            <w:vAlign w:val="bottom"/>
          </w:tcPr>
          <w:p>
            <w:pPr>
              <w:spacing w:after="0"/>
              <w:rPr>
                <w:sz w:val="1"/>
                <w:szCs w:val="1"/>
                <w:color w:val="auto"/>
              </w:rPr>
            </w:pPr>
          </w:p>
        </w:tc>
      </w:tr>
      <w:tr>
        <w:trPr>
          <w:trHeight w:val="195"/>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Straight line rents &amp; other</w:t>
            </w:r>
          </w:p>
        </w:tc>
        <w:tc>
          <w:tcPr>
            <w:tcW w:w="10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Above/below market rent amortization</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195"/>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tenant inducements</w:t>
            </w:r>
          </w:p>
        </w:tc>
        <w:tc>
          <w:tcPr>
            <w:tcW w:w="1060" w:type="dxa"/>
            <w:vAlign w:val="bottom"/>
          </w:tcPr>
          <w:p>
            <w:pPr>
              <w:spacing w:after="0"/>
              <w:rPr>
                <w:sz w:val="16"/>
                <w:szCs w:val="16"/>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ground rent expense</w:t>
            </w:r>
          </w:p>
        </w:tc>
        <w:tc>
          <w:tcPr>
            <w:tcW w:w="10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Cash - Net operating income</w:t>
            </w:r>
          </w:p>
        </w:tc>
        <w:tc>
          <w:tcPr>
            <w:tcW w:w="10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67,026</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65,378</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Cash - Net operating income - percentage change over prior year</w:t>
            </w: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Cash - Net operating income, excluding other items (1)</w:t>
            </w:r>
          </w:p>
        </w:tc>
        <w:tc>
          <w:tcPr>
            <w:tcW w:w="10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66,671</w:t>
            </w:r>
          </w:p>
        </w:tc>
        <w:tc>
          <w:tcPr>
            <w:tcW w:w="100" w:type="dxa"/>
            <w:vAlign w:val="bottom"/>
          </w:tcPr>
          <w:p>
            <w:pPr>
              <w:spacing w:after="0"/>
              <w:rPr>
                <w:sz w:val="17"/>
                <w:szCs w:val="17"/>
                <w:color w:val="auto"/>
              </w:rPr>
            </w:pPr>
          </w:p>
        </w:tc>
        <w:tc>
          <w:tcPr>
            <w:tcW w:w="9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64,537</w:t>
            </w:r>
          </w:p>
        </w:tc>
        <w:tc>
          <w:tcPr>
            <w:tcW w:w="0" w:type="dxa"/>
            <w:vAlign w:val="bottom"/>
          </w:tcPr>
          <w:p>
            <w:pPr>
              <w:spacing w:after="0"/>
              <w:rPr>
                <w:sz w:val="1"/>
                <w:szCs w:val="1"/>
                <w:color w:val="auto"/>
              </w:rPr>
            </w:pP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Cash - Net operating income, excluding other items - percentage change over prior year</w:t>
            </w:r>
          </w:p>
        </w:tc>
        <w:tc>
          <w:tcPr>
            <w:tcW w:w="10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77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6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(48,804)</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(27,056)</w:t>
            </w:r>
          </w:p>
        </w:tc>
        <w:tc>
          <w:tcPr>
            <w:tcW w:w="0" w:type="dxa"/>
            <w:vAlign w:val="bottom"/>
          </w:tcPr>
          <w:p>
            <w:pPr>
              <w:spacing w:after="0"/>
              <w:rPr>
                <w:sz w:val="1"/>
                <w:szCs w:val="1"/>
                <w:color w:val="auto"/>
              </w:rPr>
            </w:pPr>
          </w:p>
        </w:tc>
      </w:tr>
      <w:tr>
        <w:trPr>
          <w:trHeight w:val="195"/>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Add/(deduct):</w:t>
            </w: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0" w:type="dxa"/>
            <w:vAlign w:val="bottom"/>
          </w:tcPr>
          <w:p>
            <w:pPr>
              <w:spacing w:after="0"/>
              <w:rPr>
                <w:sz w:val="1"/>
                <w:szCs w:val="1"/>
                <w:color w:val="auto"/>
              </w:rPr>
            </w:pPr>
          </w:p>
        </w:tc>
      </w:tr>
      <w:tr>
        <w:trPr>
          <w:trHeight w:val="195"/>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1060" w:type="dxa"/>
            <w:vAlign w:val="bottom"/>
          </w:tcPr>
          <w:p>
            <w:pPr>
              <w:spacing w:after="0"/>
              <w:rPr>
                <w:sz w:val="16"/>
                <w:szCs w:val="16"/>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40,889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31,845</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 amortization of deferred financing costs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1,387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195"/>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in loss of unconsolidated real estate ventures</w:t>
            </w:r>
          </w:p>
        </w:tc>
        <w:tc>
          <w:tcPr>
            <w:tcW w:w="1060" w:type="dxa"/>
            <w:vAlign w:val="bottom"/>
          </w:tcPr>
          <w:p>
            <w:pPr>
              <w:spacing w:after="0"/>
              <w:rPr>
                <w:sz w:val="16"/>
                <w:szCs w:val="16"/>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8,702</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10,511</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gain on real estate venture transactions</w:t>
            </w:r>
          </w:p>
        </w:tc>
        <w:tc>
          <w:tcPr>
            <w:tcW w:w="10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95"/>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gain on disposition of real estate</w:t>
            </w:r>
          </w:p>
        </w:tc>
        <w:tc>
          <w:tcPr>
            <w:tcW w:w="1060" w:type="dxa"/>
            <w:vAlign w:val="bottom"/>
          </w:tcPr>
          <w:p>
            <w:pPr>
              <w:spacing w:after="0"/>
              <w:rPr>
                <w:sz w:val="16"/>
                <w:szCs w:val="16"/>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(3,059)</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49,231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44,353</w:t>
            </w:r>
          </w:p>
        </w:tc>
        <w:tc>
          <w:tcPr>
            <w:tcW w:w="0" w:type="dxa"/>
            <w:vAlign w:val="bottom"/>
          </w:tcPr>
          <w:p>
            <w:pPr>
              <w:spacing w:after="0"/>
              <w:rPr>
                <w:sz w:val="1"/>
                <w:szCs w:val="1"/>
                <w:color w:val="auto"/>
              </w:rPr>
            </w:pPr>
          </w:p>
        </w:tc>
      </w:tr>
      <w:tr>
        <w:trPr>
          <w:trHeight w:val="195"/>
        </w:trPr>
        <w:tc>
          <w:tcPr>
            <w:tcW w:w="77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General &amp; administrative expenses</w:t>
            </w:r>
          </w:p>
        </w:tc>
        <w:tc>
          <w:tcPr>
            <w:tcW w:w="1060" w:type="dxa"/>
            <w:vAlign w:val="bottom"/>
          </w:tcPr>
          <w:p>
            <w:pPr>
              <w:spacing w:after="0"/>
              <w:rPr>
                <w:sz w:val="16"/>
                <w:szCs w:val="16"/>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12,335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17,470</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impairment</w:t>
            </w:r>
          </w:p>
        </w:tc>
        <w:tc>
          <w:tcPr>
            <w:tcW w:w="10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11,909</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Consolidated net operating income</w:t>
            </w:r>
          </w:p>
        </w:tc>
        <w:tc>
          <w:tcPr>
            <w:tcW w:w="1060" w:type="dxa"/>
            <w:vAlign w:val="bottom"/>
          </w:tcPr>
          <w:p>
            <w:pPr>
              <w:spacing w:after="0"/>
              <w:rPr>
                <w:sz w:val="16"/>
                <w:szCs w:val="16"/>
                <w:color w:val="auto"/>
              </w:rPr>
            </w:pPr>
          </w:p>
        </w:tc>
        <w:tc>
          <w:tcPr>
            <w:tcW w:w="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74,985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73,925</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Net operating income of non-same store properties and elimination of non-property specific operations</w:t>
            </w:r>
          </w:p>
        </w:tc>
        <w:tc>
          <w:tcPr>
            <w:tcW w:w="10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(7,965)</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(7,012)</w:t>
            </w:r>
          </w:p>
        </w:tc>
        <w:tc>
          <w:tcPr>
            <w:tcW w:w="0" w:type="dxa"/>
            <w:vAlign w:val="bottom"/>
          </w:tcPr>
          <w:p>
            <w:pPr>
              <w:spacing w:after="0"/>
              <w:rPr>
                <w:sz w:val="1"/>
                <w:szCs w:val="1"/>
                <w:color w:val="auto"/>
              </w:rPr>
            </w:pPr>
          </w:p>
        </w:tc>
      </w:tr>
      <w:tr>
        <w:trPr>
          <w:trHeight w:val="196"/>
        </w:trPr>
        <w:tc>
          <w:tcPr>
            <w:tcW w:w="77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Same store net operating income</w:t>
            </w:r>
          </w:p>
        </w:tc>
        <w:tc>
          <w:tcPr>
            <w:tcW w:w="10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67,020</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66,913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(1) - Other items represent termination fees and bad debt expense and 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- 10 -</w:t>
      </w: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upperLetter"/>
      <w:start w:val="7"/>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2026-04-23T10:29:18Z</dcterms:created>
  <dcterms:modified xsi:type="dcterms:W3CDTF">2026-04-23T10:29:18Z</dcterms:modified>
</cp:coreProperties>
</file>