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May 1,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245110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43"/>
          <w:szCs w:val="43"/>
          <w:b w:val="1"/>
          <w:bCs w:val="1"/>
          <w:color w:val="auto"/>
        </w:rPr>
        <w:t>BRANDYWINE REALTY TRUST</w:t>
      </w:r>
    </w:p>
    <w:p>
      <w:pPr>
        <w:spacing w:after="0" w:line="63"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42"/>
          <w:szCs w:val="42"/>
          <w:b w:val="1"/>
          <w:bCs w:val="1"/>
          <w:color w:val="auto"/>
        </w:rPr>
        <w:t>BRANDYWINE OPERATING PARTNERSHIP, L.P.</w:t>
      </w:r>
    </w:p>
    <w:p>
      <w:pPr>
        <w:spacing w:after="0" w:line="12"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1484"/>
        <w:spacing w:after="0"/>
        <w:rPr>
          <w:sz w:val="20"/>
          <w:szCs w:val="20"/>
          <w:color w:val="auto"/>
        </w:rPr>
      </w:pPr>
      <w:r>
        <w:rPr>
          <w:rFonts w:ascii="Times New Roman" w:cs="Times New Roman" w:eastAsia="Times New Roman" w:hAnsi="Times New Roman"/>
          <w:sz w:val="18"/>
          <w:szCs w:val="18"/>
          <w:b w:val="1"/>
          <w:bCs w:val="1"/>
          <w:color w:val="auto"/>
        </w:rPr>
        <w:t>Maryland</w:t>
      </w:r>
    </w:p>
    <w:p>
      <w:pPr>
        <w:sectPr>
          <w:pgSz w:w="11900" w:h="16838" w:orient="portrait"/>
          <w:cols w:equalWidth="0" w:num="1">
            <w:col w:w="11024"/>
          </w:cols>
          <w:pgMar w:left="436" w:top="376" w:right="439" w:bottom="0" w:gutter="0" w:footer="0" w:header="0"/>
        </w:sectPr>
      </w:pPr>
    </w:p>
    <w:p>
      <w:pPr>
        <w:spacing w:after="0" w:line="31" w:lineRule="exact"/>
        <w:rPr>
          <w:sz w:val="24"/>
          <w:szCs w:val="24"/>
          <w:color w:val="auto"/>
        </w:rPr>
      </w:pPr>
    </w:p>
    <w:p>
      <w:pPr>
        <w:ind w:left="844"/>
        <w:spacing w:after="0"/>
        <w:rPr>
          <w:sz w:val="20"/>
          <w:szCs w:val="20"/>
          <w:color w:val="auto"/>
        </w:rPr>
      </w:pPr>
      <w:r>
        <w:rPr>
          <w:rFonts w:ascii="Times New Roman" w:cs="Times New Roman" w:eastAsia="Times New Roman" w:hAnsi="Times New Roman"/>
          <w:sz w:val="18"/>
          <w:szCs w:val="18"/>
          <w:b w:val="1"/>
          <w:bCs w:val="1"/>
          <w:color w:val="auto"/>
        </w:rPr>
        <w:t>(Brandywine Realty Trust)</w:t>
      </w:r>
    </w:p>
    <w:p>
      <w:pPr>
        <w:spacing w:after="0" w:line="9"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9" w:lineRule="exact"/>
        <w:rPr>
          <w:sz w:val="24"/>
          <w:szCs w:val="24"/>
          <w:color w:val="auto"/>
        </w:rPr>
      </w:pPr>
    </w:p>
    <w:p>
      <w:pPr>
        <w:ind w:left="244"/>
        <w:spacing w:after="0"/>
        <w:rPr>
          <w:sz w:val="20"/>
          <w:szCs w:val="20"/>
          <w:color w:val="auto"/>
        </w:rPr>
      </w:pPr>
      <w:r>
        <w:rPr>
          <w:rFonts w:ascii="Times New Roman" w:cs="Times New Roman" w:eastAsia="Times New Roman" w:hAnsi="Times New Roman"/>
          <w:sz w:val="17"/>
          <w:szCs w:val="17"/>
          <w:b w:val="1"/>
          <w:bCs w:val="1"/>
          <w:color w:val="auto"/>
        </w:rPr>
        <w:t>(Brandywine Operating Partnership, L.P.)</w:t>
      </w:r>
    </w:p>
    <w:p>
      <w:pPr>
        <w:spacing w:after="0" w:line="20" w:lineRule="exact"/>
        <w:rPr>
          <w:sz w:val="24"/>
          <w:szCs w:val="24"/>
          <w:color w:val="auto"/>
        </w:rPr>
      </w:pPr>
      <w:r>
        <w:rPr>
          <w:sz w:val="24"/>
          <w:szCs w:val="24"/>
          <w:color w:val="auto"/>
        </w:rPr>
        <w:br w:type="column"/>
      </w:r>
    </w:p>
    <w:p>
      <w:pPr>
        <w:spacing w:after="0" w:line="11"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001-9106</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000-24407</w:t>
      </w:r>
    </w:p>
    <w:p>
      <w:pPr>
        <w:spacing w:after="0" w:line="20" w:lineRule="exact"/>
        <w:rPr>
          <w:sz w:val="24"/>
          <w:szCs w:val="24"/>
          <w:color w:val="auto"/>
        </w:rPr>
      </w:pPr>
      <w:r>
        <w:rPr>
          <w:sz w:val="24"/>
          <w:szCs w:val="24"/>
          <w:color w:val="auto"/>
        </w:rPr>
        <w:br w:type="column"/>
      </w:r>
    </w:p>
    <w:p>
      <w:pPr>
        <w:spacing w:after="0" w:line="1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23-2413352</w:t>
      </w:r>
    </w:p>
    <w:p>
      <w:pPr>
        <w:spacing w:after="0" w:line="21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23-2862640</w:t>
      </w:r>
    </w:p>
    <w:p>
      <w:pPr>
        <w:spacing w:after="0" w:line="23" w:lineRule="exact"/>
        <w:rPr>
          <w:sz w:val="24"/>
          <w:szCs w:val="24"/>
          <w:color w:val="auto"/>
        </w:rPr>
      </w:pPr>
    </w:p>
    <w:p>
      <w:pPr>
        <w:sectPr>
          <w:pgSz w:w="11900" w:h="16838" w:orient="portrait"/>
          <w:cols w:equalWidth="0" w:num="3">
            <w:col w:w="4504" w:space="720"/>
            <w:col w:w="2880" w:space="720"/>
            <w:col w:w="2200"/>
          </w:cols>
          <w:pgMar w:left="436" w:top="376" w:right="439" w:bottom="0" w:gutter="0" w:footer="0" w:header="0"/>
          <w:type w:val="continuous"/>
        </w:sectPr>
      </w:pPr>
    </w:p>
    <w:p>
      <w:pPr>
        <w:ind w:left="944"/>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ind w:left="904"/>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(Commission</w:t>
      </w:r>
    </w:p>
    <w:p>
      <w:pPr>
        <w:ind w:left="20"/>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06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060"/>
        <w:spacing w:after="0"/>
        <w:rPr>
          <w:sz w:val="20"/>
          <w:szCs w:val="20"/>
          <w:color w:val="auto"/>
        </w:rPr>
      </w:pPr>
      <w:r>
        <w:rPr>
          <w:rFonts w:ascii="Times New Roman" w:cs="Times New Roman" w:eastAsia="Times New Roman" w:hAnsi="Times New Roman"/>
          <w:sz w:val="14"/>
          <w:szCs w:val="14"/>
          <w:b w:val="1"/>
          <w:bCs w:val="1"/>
          <w:color w:val="auto"/>
        </w:rPr>
        <w:t>Identification Number)</w:t>
      </w:r>
    </w:p>
    <w:p>
      <w:pPr>
        <w:spacing w:after="0" w:line="200" w:lineRule="exact"/>
        <w:rPr>
          <w:sz w:val="24"/>
          <w:szCs w:val="24"/>
          <w:color w:val="auto"/>
        </w:rPr>
      </w:pPr>
    </w:p>
    <w:p>
      <w:pPr>
        <w:sectPr>
          <w:pgSz w:w="11900" w:h="16838" w:orient="portrait"/>
          <w:cols w:equalWidth="0" w:num="3">
            <w:col w:w="4504" w:space="720"/>
            <w:col w:w="2600" w:space="720"/>
            <w:col w:w="2480"/>
          </w:cols>
          <w:pgMar w:left="436" w:top="376" w:right="439" w:bottom="0" w:gutter="0" w:footer="0" w:header="0"/>
          <w:type w:val="continuous"/>
        </w:sectPr>
      </w:pPr>
    </w:p>
    <w:p>
      <w:pPr>
        <w:spacing w:after="0" w:line="1"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2929 Arch Street</w:t>
      </w:r>
    </w:p>
    <w:p>
      <w:pPr>
        <w:spacing w:after="0" w:line="31"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Suite 1800</w:t>
      </w:r>
    </w:p>
    <w:p>
      <w:pPr>
        <w:spacing w:after="0" w:line="9"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Philadelphia, PA 19104</w:t>
      </w:r>
    </w:p>
    <w:p>
      <w:pPr>
        <w:spacing w:after="0" w:line="2"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p>
      <w:pPr>
        <w:spacing w:after="0" w:line="188"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(610) 325-5600</w:t>
      </w:r>
    </w:p>
    <w:p>
      <w:pPr>
        <w:spacing w:after="0" w:line="25"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4"/>
          </w:cols>
          <w:pgMar w:left="436" w:top="376" w:right="439" w:bottom="0" w:gutter="0" w:footer="0" w:header="0"/>
          <w:type w:val="continuous"/>
        </w:sectPr>
      </w:pPr>
    </w:p>
    <w:p>
      <w:pPr>
        <w:spacing w:after="0" w:line="200" w:lineRule="exact"/>
        <w:rPr>
          <w:sz w:val="24"/>
          <w:szCs w:val="24"/>
          <w:color w:val="auto"/>
        </w:rPr>
      </w:pPr>
    </w:p>
    <w:p>
      <w:pPr>
        <w:spacing w:after="0" w:line="356"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Shares of Beneficial Interest</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BDN</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NYSE</w:t>
            </w:r>
          </w:p>
        </w:tc>
        <w:tc>
          <w:tcPr>
            <w:tcW w:w="0" w:type="dxa"/>
            <w:vAlign w:val="bottom"/>
          </w:tcPr>
          <w:p>
            <w:pPr>
              <w:spacing w:after="0"/>
              <w:rPr>
                <w:sz w:val="1"/>
                <w:szCs w:val="1"/>
                <w:color w:val="auto"/>
              </w:rPr>
            </w:pPr>
          </w:p>
        </w:tc>
      </w:tr>
    </w:tbl>
    <w:p>
      <w:pPr>
        <w:spacing w:after="0" w:line="179"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2"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Brandywine Realty Trust</w:t>
      </w:r>
      <w:r>
        <w:rPr>
          <w:rFonts w:ascii="Times New Roman" w:cs="Times New Roman" w:eastAsia="Times New Roman" w:hAnsi="Times New Roman"/>
          <w:sz w:val="18"/>
          <w:szCs w:val="18"/>
          <w:color w:val="auto"/>
        </w:rPr>
        <w:t>:</w:t>
      </w:r>
    </w:p>
    <w:p>
      <w:pPr>
        <w:spacing w:after="0" w:line="184"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Brandywine Operating Partnership, L.P.</w:t>
      </w:r>
      <w:r>
        <w:rPr>
          <w:rFonts w:ascii="Times New Roman" w:cs="Times New Roman" w:eastAsia="Times New Roman" w:hAnsi="Times New Roman"/>
          <w:sz w:val="18"/>
          <w:szCs w:val="18"/>
          <w:color w:val="auto"/>
        </w:rPr>
        <w:t>:</w:t>
      </w:r>
    </w:p>
    <w:p>
      <w:pPr>
        <w:spacing w:after="0" w:line="184"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121"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u w:val="single" w:color="auto"/>
          <w:color w:val="auto"/>
        </w:rPr>
        <w:t>Brandywine Realty Trust</w:t>
      </w: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rPr>
        <w:t>☐</w:t>
      </w:r>
    </w:p>
    <w:p>
      <w:pPr>
        <w:sectPr>
          <w:pgSz w:w="11900" w:h="16838" w:orient="portrait"/>
          <w:cols w:equalWidth="0" w:num="1">
            <w:col w:w="11024"/>
          </w:cols>
          <w:pgMar w:left="436" w:top="376" w:right="439" w:bottom="0" w:gutter="0" w:footer="0" w:header="0"/>
          <w:type w:val="continuous"/>
        </w:sectPr>
      </w:pPr>
    </w:p>
    <w:bookmarkStart w:id="1" w:name="page2"/>
    <w:bookmarkEnd w:id="1"/>
    <w:p>
      <w:pPr>
        <w:spacing w:after="0" w:line="196" w:lineRule="exact"/>
        <w:rPr>
          <w:sz w:val="20"/>
          <w:szCs w:val="20"/>
          <w:color w:val="auto"/>
        </w:rPr>
      </w:pPr>
      <w:r>
        <w:rPr>
          <w:rFonts w:ascii="Times New Roman" w:cs="Times New Roman" w:eastAsia="Times New Roman" w:hAnsi="Times New Roman"/>
          <w:sz w:val="17"/>
          <w:szCs w:val="17"/>
          <w:u w:val="single" w:color="auto"/>
          <w:color w:val="auto"/>
        </w:rPr>
        <w:t>Brandywine Operating Partnership, L.P.</w:t>
      </w:r>
      <w:r>
        <w:rPr>
          <w:rFonts w:ascii="Times New Roman" w:cs="Times New Roman" w:eastAsia="Times New Roman" w:hAnsi="Times New Roman"/>
          <w:sz w:val="17"/>
          <w:szCs w:val="17"/>
          <w:color w:val="auto"/>
        </w:rPr>
        <w:t xml:space="preserve">:  </w:t>
      </w:r>
      <w:r>
        <w:rPr>
          <w:rFonts w:ascii="MS PGothic" w:cs="MS PGothic" w:eastAsia="MS PGothic" w:hAnsi="MS PGothic"/>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195580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238760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19"/>
          </w:cols>
          <w:pgMar w:left="440" w:top="81" w:right="1440"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tabs>
          <w:tab w:leader="none" w:pos="1300" w:val="left"/>
        </w:tabs>
        <w:rPr>
          <w:sz w:val="20"/>
          <w:szCs w:val="20"/>
          <w:color w:val="auto"/>
        </w:rPr>
      </w:pPr>
      <w:r>
        <w:rPr>
          <w:rFonts w:ascii="Times New Roman" w:cs="Times New Roman" w:eastAsia="Times New Roman" w:hAnsi="Times New Roman"/>
          <w:sz w:val="18"/>
          <w:szCs w:val="18"/>
          <w:b w:val="1"/>
          <w:bCs w:val="1"/>
          <w:color w:val="auto"/>
        </w:rPr>
        <w:t>Item 1.05</w:t>
      </w:r>
      <w:r>
        <w:rPr>
          <w:sz w:val="20"/>
          <w:szCs w:val="20"/>
          <w:color w:val="auto"/>
        </w:rPr>
        <w:tab/>
      </w:r>
      <w:r>
        <w:rPr>
          <w:rFonts w:ascii="Times New Roman" w:cs="Times New Roman" w:eastAsia="Times New Roman" w:hAnsi="Times New Roman"/>
          <w:sz w:val="18"/>
          <w:szCs w:val="18"/>
          <w:b w:val="1"/>
          <w:bCs w:val="1"/>
          <w:color w:val="auto"/>
        </w:rPr>
        <w:t>Material Cybersecurity Incidents.</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On May 1, 2024, Brandywine Realty Trust (the “Company”) detected what was determined to be a cybersecurity incident, whereby a third party gained unauthorized access to portions of its information technology (“IT”) environment. Upon detecting the unauthorized occurrences, the Company promptly initiated its previously established response protocols and began taking steps to contain, assess and remediate the incident, including beginning an investigation with leading external cybersecurity experts, activating its incident response plan, shutting down some systems and notifying law enforcement. The cybersecurity incident consisted of unauthorized access and deployment of encryption by a third party to a portion of the Company’s internal corporate IT systems. The incident caused disruptions to, and limitation of access to, portions of the Company’s business applications supporting aspects of the Company’s operations and corporate functions, including financial and operating reporting systems. Based on the information reviewed to date, the Company believes the unauthorized activity has been contained and is working diligently to bring the impacted portions of its IT systems back online. Although the Company ascertained that certain files were exfiltrated, it is still investigating the extent of any sensitive information contained within the accessed IT systems, including any personal information. The Company is evaluating what, if any, regulatory and legal notifications are required as a result of this incident and will issue such notifications based on its findings.</w:t>
      </w:r>
    </w:p>
    <w:p>
      <w:pPr>
        <w:spacing w:after="0" w:line="192"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As the investigation of the incident is ongoing, the full scope, nature and impact of the incident are not yet known. The Company’s real estate operations have continued throughout this matter in all material respects and, as of the date of this filing, the incident has not otherwise had a material impact on the Company’s operations. As of the date of this filing, the Company does not believe the incident is reasonably likely to materially impact the Company’s financial condition or results of operations.</w:t>
      </w:r>
    </w:p>
    <w:p>
      <w:pPr>
        <w:sectPr>
          <w:pgSz w:w="11900" w:h="16838" w:orient="portrait"/>
          <w:cols w:equalWidth="0" w:num="1">
            <w:col w:w="11120"/>
          </w:cols>
          <w:pgMar w:left="320" w:top="482" w:right="459" w:bottom="1440" w:gutter="0" w:footer="0" w:header="0"/>
        </w:sectPr>
      </w:pP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b w:val="1"/>
          <w:bCs w:val="1"/>
          <w:color w:val="auto"/>
        </w:rPr>
        <w:t>Item 5.02</w:t>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ind w:right="1000"/>
        <w:spacing w:after="0" w:line="286" w:lineRule="auto"/>
        <w:rPr>
          <w:sz w:val="20"/>
          <w:szCs w:val="20"/>
          <w:color w:val="auto"/>
        </w:rPr>
      </w:pP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51" w:lineRule="exact"/>
        <w:rPr>
          <w:sz w:val="20"/>
          <w:szCs w:val="20"/>
          <w:color w:val="auto"/>
        </w:rPr>
      </w:pPr>
    </w:p>
    <w:p>
      <w:pPr>
        <w:sectPr>
          <w:pgSz w:w="11900" w:h="16838" w:orient="portrait"/>
          <w:cols w:equalWidth="0" w:num="2">
            <w:col w:w="820" w:space="500"/>
            <w:col w:w="9800"/>
          </w:cols>
          <w:pgMar w:left="320" w:top="482" w:right="459" w:bottom="1440" w:gutter="0" w:footer="0" w:header="0"/>
          <w:type w:val="continuous"/>
        </w:sectPr>
      </w:pPr>
    </w:p>
    <w:p>
      <w:pPr>
        <w:ind w:left="120" w:right="240" w:firstLine="440"/>
        <w:spacing w:after="0" w:line="258" w:lineRule="auto"/>
        <w:rPr>
          <w:sz w:val="20"/>
          <w:szCs w:val="20"/>
          <w:color w:val="auto"/>
        </w:rPr>
      </w:pPr>
      <w:r>
        <w:rPr>
          <w:rFonts w:ascii="Times New Roman" w:cs="Times New Roman" w:eastAsia="Times New Roman" w:hAnsi="Times New Roman"/>
          <w:sz w:val="18"/>
          <w:szCs w:val="18"/>
          <w:color w:val="auto"/>
        </w:rPr>
        <w:t>On May 3, 2024, Terri A. Herubin notified the Company of her resignation from the Company’s Board of Trustees (the “Board”), effective May 31, 2024. Ms. Herubin advised the Company that her decision to resign from the Board is due to employment requirements of a firm with which she has accepted an offer of employment, which precludes her from serving on the board of a publicly-traded company, and does not relate to any disagreement on matters relating to the Company’s operations, policies or practices. Ms. Herubin has served as a Trustee since 2018 and the Board expressed its appreciation to her for her service to the Company.</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121" w:lineRule="exact"/>
        <w:rPr>
          <w:sz w:val="20"/>
          <w:szCs w:val="20"/>
          <w:color w:val="auto"/>
        </w:rPr>
      </w:pPr>
    </w:p>
    <w:p>
      <w:pPr>
        <w:ind w:left="120" w:right="300" w:firstLine="440"/>
        <w:spacing w:after="0" w:line="261" w:lineRule="auto"/>
        <w:rPr>
          <w:sz w:val="20"/>
          <w:szCs w:val="20"/>
          <w:color w:val="auto"/>
        </w:rPr>
      </w:pPr>
      <w:r>
        <w:rPr>
          <w:rFonts w:ascii="Times New Roman" w:cs="Times New Roman" w:eastAsia="Times New Roman" w:hAnsi="Times New Roman"/>
          <w:sz w:val="18"/>
          <w:szCs w:val="18"/>
          <w:color w:val="auto"/>
        </w:rPr>
        <w:t>The Company has made statements in this communication that are forward-looking and therefore are subject to risks and uncertainties. All statements in this document other than statements of historical fact are, or could be, “forward-looking statements” within the meaning of the Private Securities Litigation Reform Act of 1995. Words such as “may,” “will,” “expect,” “intend,” “estimate,” “anticipate,” “believe,” “should,” “forecast,” “project” or “plan” and terms</w:t>
      </w:r>
    </w:p>
    <w:p>
      <w:pPr>
        <w:sectPr>
          <w:pgSz w:w="11900" w:h="16838" w:orient="portrait"/>
          <w:cols w:equalWidth="0" w:num="1">
            <w:col w:w="11120"/>
          </w:cols>
          <w:pgMar w:left="320" w:top="482" w:right="45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of similar meaning are also generally intended to identify forward-looking statements. However, the absence of these words does not mean that a statement is not forward-looking. The Company cautions that these statements are subject to numerous important risks, uncertainties, assumptions and other factors, some of which are beyond its control, that could cause its actual results to differ materially from those expressed or implied by such forward-looking statements, including, among others: additional information regarding the extent of the cybersecurity incident that the Company may uncover during its ongoing investigation; the Company’s ability to assess and remedy the incident; the Company’s ability to service its tenants during and following the incident; the compromise or improper use of sensitive, proprietary, confidential financial, or personal data or information resulting in negative consequences such as fines, penalties, or loss of reputation, competitiveness or tenants; incremental expenses associated with the Company’s on-going assessment and remediation of the incident; the nature and scope of any claims, litigation or regulatory proceedings that may be brought against the Company or other affected parties as a result of the incident; the availability of insurance coverage; other legal, reputational and financial risks resulting from this or other cybersecurity incidents and the potential impact of this incident on the Company’s revenues, operating expenses, and operating results; the length and scope of disruptions to the Company’s business operations caused by the incident; and the other factors set forth in in the Company’s Annual Report on Form 10-K for the 2023 fiscal year filed with the SEC on February 22, 2024, which is available at www.sec.gov and www.brandywinerealty.com under the “Investors Relations—Financial Information” tab. Shareholders, potential investors and others should consider these factors in evaluating the forward-looking statements and should not place undue reliance on such statements. The forward-looking statements included in this communication are made only as of the date of this document, unless otherwise specified, and, except as required by law, the Company assumes no obligation, and disclaims any obligation, to update such statements to reflect events or circumstances occurring after the date of this communication.</w:t>
      </w:r>
    </w:p>
    <w:p>
      <w:pPr>
        <w:sectPr>
          <w:pgSz w:w="11900" w:h="16838" w:orient="portrait"/>
          <w:cols w:equalWidth="0" w:num="1">
            <w:col w:w="11000"/>
          </w:cols>
          <w:pgMar w:left="320" w:top="482" w:right="5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BRANDYWINE REALTY TRUST</w:t>
      </w:r>
    </w:p>
    <w:p>
      <w:pPr>
        <w:spacing w:after="0" w:line="22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 /s/ Thomas E. Wirth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5628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34"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Thomas E. Wirth</w:t>
      </w:r>
    </w:p>
    <w:p>
      <w:pPr>
        <w:spacing w:after="0" w:line="9"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Executive Vice President and</w:t>
      </w:r>
    </w:p>
    <w:p>
      <w:pPr>
        <w:spacing w:after="0" w:line="9"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7"/>
          <w:szCs w:val="17"/>
          <w:color w:val="auto"/>
        </w:rPr>
        <w:t>BRANDYWINE OPERATING PARTNERSHIP, L.P.</w:t>
      </w:r>
    </w:p>
    <w:p>
      <w:pPr>
        <w:spacing w:after="0" w:line="23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 BRANDYWINE REALTY TRUST, ITS</w:t>
      </w:r>
    </w:p>
    <w:p>
      <w:pPr>
        <w:spacing w:after="0" w:line="2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GENERAL PARTNER</w:t>
      </w:r>
    </w:p>
    <w:p>
      <w:pPr>
        <w:spacing w:after="0" w:line="20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 /s/ Thomas E. Wirth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56286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Thomas E. Wirth</w:t>
      </w:r>
    </w:p>
    <w:p>
      <w:pPr>
        <w:spacing w:after="0" w:line="2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Executive Vice President and</w:t>
      </w:r>
    </w:p>
    <w:p>
      <w:pPr>
        <w:spacing w:after="0" w:line="9"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Date: May 7, 2024</w:t>
      </w:r>
    </w:p>
    <w:sectPr>
      <w:pgSz w:w="11900" w:h="16838" w:orient="portrait"/>
      <w:cols w:equalWidth="0" w:num="1">
        <w:col w:w="10580"/>
      </w:cols>
      <w:pgMar w:left="320" w:top="482"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2024-05-07T15:47:54Z</dcterms:created>
  <dcterms:modified xsi:type="dcterms:W3CDTF">2024-05-07T15:47:54Z</dcterms:modified>
</cp:coreProperties>
</file>