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44"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88"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88"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4"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Brandywine Realty Trust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Brandywine Operating Partnership, L.P.</w:t>
      </w:r>
    </w:p>
    <w:p>
      <w:pPr>
        <w:jc w:val="center"/>
        <w:spacing w:after="0" w:line="214" w:lineRule="auto"/>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4"/>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(Brandywine Realty Trust)</w:t>
            </w:r>
          </w:p>
        </w:tc>
        <w:tc>
          <w:tcPr>
            <w:tcW w:w="2340" w:type="dxa"/>
            <w:vAlign w:val="bottom"/>
            <w:vMerge w:val="restart"/>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001-9106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23-2413352</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(Brandywine Operating Partnership, L.P.)</w:t>
            </w:r>
          </w:p>
        </w:tc>
        <w:tc>
          <w:tcPr>
            <w:tcW w:w="2340" w:type="dxa"/>
            <w:vAlign w:val="bottom"/>
            <w:vMerge w:val="restart"/>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000-24407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23-2862640</w:t>
            </w:r>
          </w:p>
        </w:tc>
        <w:tc>
          <w:tcPr>
            <w:tcW w:w="0" w:type="dxa"/>
            <w:vAlign w:val="bottom"/>
          </w:tcPr>
          <w:p>
            <w:pPr>
              <w:spacing w:after="0"/>
              <w:rPr>
                <w:sz w:val="1"/>
                <w:szCs w:val="1"/>
                <w:color w:val="auto"/>
              </w:rPr>
            </w:pPr>
          </w:p>
        </w:tc>
      </w:tr>
      <w:tr>
        <w:trPr>
          <w:trHeight w:val="151"/>
        </w:trPr>
        <w:tc>
          <w:tcPr>
            <w:tcW w:w="3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Pr>
          <w:p>
            <w:pPr>
              <w:ind w:left="320"/>
              <w:spacing w:after="0" w:line="158" w:lineRule="exact"/>
              <w:rPr>
                <w:sz w:val="20"/>
                <w:szCs w:val="20"/>
                <w:color w:val="auto"/>
              </w:rPr>
            </w:pPr>
            <w:r>
              <w:rPr>
                <w:rFonts w:ascii="Times New Roman" w:cs="Times New Roman" w:eastAsia="Times New Roman" w:hAnsi="Times New Roman"/>
                <w:sz w:val="16"/>
                <w:szCs w:val="16"/>
                <w:color w:val="auto"/>
              </w:rPr>
              <w:t>(Commission file number)</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(I.R.S. Employer Identification Number)</w:t>
            </w:r>
          </w:p>
        </w:tc>
        <w:tc>
          <w:tcPr>
            <w:tcW w:w="0" w:type="dxa"/>
            <w:vAlign w:val="bottom"/>
          </w:tcPr>
          <w:p>
            <w:pPr>
              <w:spacing w:after="0"/>
              <w:rPr>
                <w:sz w:val="1"/>
                <w:szCs w:val="1"/>
                <w:color w:val="auto"/>
              </w:rPr>
            </w:pPr>
          </w:p>
        </w:tc>
      </w:tr>
      <w:tr>
        <w:trPr>
          <w:trHeight w:val="210"/>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color w:val="auto"/>
              </w:rPr>
              <w:t>or Organization)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2929 Arch Street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Suite 1800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(610) 325-5600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10"/>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82"/>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 of Beneficial Interest</w:t>
            </w:r>
          </w:p>
        </w:tc>
        <w:tc>
          <w:tcPr>
            <w:tcW w:w="220" w:type="dxa"/>
            <w:vAlign w:val="bottom"/>
          </w:tcPr>
          <w:p>
            <w:pPr>
              <w:spacing w:after="0"/>
              <w:rPr>
                <w:sz w:val="15"/>
                <w:szCs w:val="15"/>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BDN</w:t>
            </w:r>
          </w:p>
        </w:tc>
        <w:tc>
          <w:tcPr>
            <w:tcW w:w="2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NYSE</w:t>
            </w:r>
          </w:p>
        </w:tc>
      </w:tr>
    </w:tbl>
    <w:p>
      <w:pPr>
        <w:spacing w:after="0" w:line="167" w:lineRule="exact"/>
        <w:rPr>
          <w:sz w:val="24"/>
          <w:szCs w:val="24"/>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4" w:lineRule="exact"/>
        <w:rPr>
          <w:sz w:val="24"/>
          <w:szCs w:val="24"/>
          <w:color w:val="auto"/>
        </w:rPr>
      </w:pPr>
    </w:p>
    <w:p>
      <w:pPr>
        <w:ind w:left="20"/>
        <w:spacing w:after="0" w:line="161" w:lineRule="exact"/>
        <w:tabs>
          <w:tab w:leader="none" w:pos="5140" w:val="left"/>
        </w:tabs>
        <w:rPr>
          <w:sz w:val="20"/>
          <w:szCs w:val="20"/>
          <w:color w:val="auto"/>
        </w:rPr>
      </w:pPr>
      <w:r>
        <w:rPr>
          <w:rFonts w:ascii="Times New Roman" w:cs="Times New Roman" w:eastAsia="Times New Roman" w:hAnsi="Times New Roman"/>
          <w:sz w:val="14"/>
          <w:szCs w:val="14"/>
          <w:color w:val="auto"/>
        </w:rPr>
        <w:t>Brandywine Realty Trust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ind w:left="20"/>
        <w:spacing w:after="0" w:line="161" w:lineRule="exact"/>
        <w:tabs>
          <w:tab w:leader="none" w:pos="5140" w:val="left"/>
        </w:tabs>
        <w:rPr>
          <w:sz w:val="20"/>
          <w:szCs w:val="20"/>
          <w:color w:val="auto"/>
        </w:rPr>
      </w:pPr>
      <w:r>
        <w:rPr>
          <w:rFonts w:ascii="Times New Roman" w:cs="Times New Roman" w:eastAsia="Times New Roman" w:hAnsi="Times New Roman"/>
          <w:sz w:val="14"/>
          <w:szCs w:val="14"/>
          <w:color w:val="auto"/>
        </w:rPr>
        <w:t>Brandywine Operating Partnership, L.P.</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0" w:lineRule="exact"/>
        <w:rPr>
          <w:sz w:val="24"/>
          <w:szCs w:val="24"/>
          <w:color w:val="auto"/>
        </w:rPr>
      </w:pPr>
    </w:p>
    <w:p>
      <w:pPr>
        <w:ind w:left="20"/>
        <w:spacing w:after="0" w:line="161" w:lineRule="exact"/>
        <w:tabs>
          <w:tab w:leader="none" w:pos="5200" w:val="left"/>
        </w:tabs>
        <w:rPr>
          <w:sz w:val="20"/>
          <w:szCs w:val="20"/>
          <w:color w:val="auto"/>
        </w:rPr>
      </w:pPr>
      <w:r>
        <w:rPr>
          <w:rFonts w:ascii="Times New Roman" w:cs="Times New Roman" w:eastAsia="Times New Roman" w:hAnsi="Times New Roman"/>
          <w:sz w:val="14"/>
          <w:szCs w:val="14"/>
          <w:color w:val="auto"/>
        </w:rPr>
        <w:t>Brandywine Realty Trust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ind w:left="20"/>
        <w:spacing w:after="0" w:line="161" w:lineRule="exact"/>
        <w:tabs>
          <w:tab w:leader="none" w:pos="5200" w:val="left"/>
        </w:tabs>
        <w:rPr>
          <w:sz w:val="20"/>
          <w:szCs w:val="20"/>
          <w:color w:val="auto"/>
        </w:rPr>
      </w:pPr>
      <w:r>
        <w:rPr>
          <w:rFonts w:ascii="Times New Roman" w:cs="Times New Roman" w:eastAsia="Times New Roman" w:hAnsi="Times New Roman"/>
          <w:sz w:val="14"/>
          <w:szCs w:val="14"/>
          <w:color w:val="auto"/>
        </w:rPr>
        <w:t>Brandywine Operating Partnership, L.P.</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30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0" w:gutter="0" w:footer="0" w:header="0"/>
        </w:sectPr>
      </w:pP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Brandywine Realty Trust:</w:t>
            </w:r>
          </w:p>
        </w:tc>
        <w:tc>
          <w:tcPr>
            <w:tcW w:w="560" w:type="dxa"/>
            <w:vAlign w:val="bottom"/>
          </w:tcPr>
          <w:p>
            <w:pPr>
              <w:spacing w:after="0"/>
              <w:rPr>
                <w:sz w:val="16"/>
                <w:szCs w:val="16"/>
                <w:color w:val="auto"/>
              </w:rPr>
            </w:pPr>
          </w:p>
        </w:tc>
      </w:tr>
      <w:tr>
        <w:trPr>
          <w:trHeight w:val="307"/>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5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r>
      <w:tr>
        <w:trPr>
          <w:trHeight w:val="24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r>
      <w:tr>
        <w:trPr>
          <w:trHeight w:val="275"/>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Brandywine Operating Partnership, L.P.:</w:t>
            </w:r>
          </w:p>
        </w:tc>
      </w:tr>
      <w:tr>
        <w:trPr>
          <w:trHeight w:val="320"/>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56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r>
      <w:tr>
        <w:trPr>
          <w:trHeight w:val="24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6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61" w:lineRule="exact"/>
        <w:tabs>
          <w:tab w:leader="none" w:pos="1960" w:val="left"/>
        </w:tabs>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pacing w:after="0" w:line="161" w:lineRule="exact"/>
        <w:tabs>
          <w:tab w:leader="none" w:pos="196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34" w:lineRule="exact"/>
        <w:rPr>
          <w:sz w:val="24"/>
          <w:szCs w:val="24"/>
          <w:color w:val="auto"/>
        </w:rPr>
      </w:pPr>
    </w:p>
    <w:p>
      <w:pPr>
        <w:spacing w:after="0" w:line="161" w:lineRule="exact"/>
        <w:tabs>
          <w:tab w:leader="none" w:pos="1960" w:val="left"/>
          <w:tab w:leader="none" w:pos="3520" w:val="left"/>
        </w:tabs>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p>
    <w:p>
      <w:pPr>
        <w:spacing w:after="0" w:line="81" w:lineRule="exact"/>
        <w:rPr>
          <w:sz w:val="24"/>
          <w:szCs w:val="24"/>
          <w:color w:val="auto"/>
        </w:rPr>
      </w:pPr>
    </w:p>
    <w:p>
      <w:pPr>
        <w:spacing w:after="0" w:line="161" w:lineRule="exact"/>
        <w:tabs>
          <w:tab w:leader="none" w:pos="196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96" w:lineRule="exact"/>
        <w:rPr>
          <w:sz w:val="24"/>
          <w:szCs w:val="24"/>
          <w:color w:val="auto"/>
        </w:rPr>
      </w:pPr>
    </w:p>
    <w:p>
      <w:pPr>
        <w:sectPr>
          <w:pgSz w:w="11900" w:h="16838" w:orient="portrait"/>
          <w:cols w:equalWidth="0" w:num="2">
            <w:col w:w="2340" w:space="180"/>
            <w:col w:w="8720"/>
          </w:cols>
          <w:pgMar w:left="320" w:top="229" w:right="339" w:bottom="0" w:gutter="0" w:footer="0" w:header="0"/>
          <w:type w:val="continuous"/>
        </w:sect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159" w:lineRule="exact"/>
        <w:rPr>
          <w:sz w:val="24"/>
          <w:szCs w:val="24"/>
          <w:color w:val="auto"/>
        </w:rPr>
      </w:pPr>
    </w:p>
    <w:p>
      <w:pPr>
        <w:ind w:left="20"/>
        <w:spacing w:after="0" w:line="161" w:lineRule="exact"/>
        <w:tabs>
          <w:tab w:leader="none" w:pos="4040" w:val="left"/>
          <w:tab w:leader="none" w:pos="5980" w:val="left"/>
          <w:tab w:leader="none" w:pos="6540" w:val="left"/>
        </w:tabs>
        <w:rPr>
          <w:sz w:val="20"/>
          <w:szCs w:val="20"/>
          <w:color w:val="auto"/>
        </w:rPr>
      </w:pPr>
      <w:r>
        <w:rPr>
          <w:rFonts w:ascii="Times New Roman" w:cs="Times New Roman" w:eastAsia="Times New Roman" w:hAnsi="Times New Roman"/>
          <w:sz w:val="14"/>
          <w:szCs w:val="14"/>
          <w:color w:val="auto"/>
        </w:rPr>
        <w:t>Brandywine Realty Trust</w:t>
      </w:r>
      <w:r>
        <w:rPr>
          <w:sz w:val="20"/>
          <w:szCs w:val="20"/>
          <w:color w:val="auto"/>
        </w:rPr>
        <w:tab/>
      </w: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4" w:lineRule="exact"/>
        <w:rPr>
          <w:sz w:val="24"/>
          <w:szCs w:val="24"/>
          <w:color w:val="auto"/>
        </w:rPr>
      </w:pPr>
    </w:p>
    <w:p>
      <w:pPr>
        <w:ind w:left="20"/>
        <w:spacing w:after="0" w:line="161" w:lineRule="exact"/>
        <w:tabs>
          <w:tab w:leader="none" w:pos="4040" w:val="left"/>
          <w:tab w:leader="none" w:pos="5980" w:val="left"/>
          <w:tab w:leader="none" w:pos="6540" w:val="left"/>
        </w:tabs>
        <w:rPr>
          <w:sz w:val="20"/>
          <w:szCs w:val="20"/>
          <w:color w:val="auto"/>
        </w:rPr>
      </w:pPr>
      <w:r>
        <w:rPr>
          <w:rFonts w:ascii="Times New Roman" w:cs="Times New Roman" w:eastAsia="Times New Roman" w:hAnsi="Times New Roman"/>
          <w:sz w:val="14"/>
          <w:szCs w:val="14"/>
          <w:color w:val="auto"/>
        </w:rPr>
        <w:t>Brandywine Operating Partnership, L.P.</w:t>
      </w:r>
      <w:r>
        <w:rPr>
          <w:sz w:val="20"/>
          <w:szCs w:val="20"/>
          <w:color w:val="auto"/>
        </w:rPr>
        <w:tab/>
      </w: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 total of 170,045,584 Common Shares of Beneficial Interest, par value $0.01 per share of Brandywine Realty Trust, were outstanding as of October 21, 2026.</w:t>
      </w:r>
    </w:p>
    <w:p>
      <w:pPr>
        <w:sectPr>
          <w:pgSz w:w="11900" w:h="16838" w:orient="portrait"/>
          <w:cols w:equalWidth="0" w:num="1">
            <w:col w:w="11240"/>
          </w:cols>
          <w:pgMar w:left="320" w:top="229" w:right="3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504825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(this "Form 10-Q") combines the quarterly reports on Form 10-Q for the period ended September 30, 2026 of Brandywine Realty Trust (the “Parent Company”) and Brandywine Operating Partnership L.P. (the “Operating Partnership”). The Parent Company is a Maryland real estate investment trust, or REIT, that owns its assets and conducts its operations through the Operating Partnership, a Delaware limited partnership, and subsidiaries of the Operating Partnership. The Parent Company, the Operating Partnership and their consolidated subsidiaries are collectively referred to in this report as the “Company”. In addition, terms such as “we”, “us”, and “our” used in this report may refer to the Company, the Parent Company, or the Operating Partnership.</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Parent Company is the sole general partner of the Operating Partnership and, as of September 30, 2026, owned a 99.7% interest in the Operating Partnership. The remaining 0.3% interest consists of common units of limited partnership interest issued by the Operating Partnership to third parties in exchange for contributions of properties to the Operating Partnership. As the sole general partner of the Operating Partnership, the Parent Company has full and complete authority over the Operating Partnership’s day-to-day operations and management.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general partner with control of the Operating Partnership, the Parent Company consolidates the Operating Partnership for financial reporting purposes, and the Parent Company does not have significant assets other than its investment in the Operating Partnership. Therefore, the assets and liabilities of the Parent Company and the Operating Partnership are the same in their respective financial statements. The separate discussions of the Parent Company and the Operating Partnership in this Form 10-Q should be read in conjunction with each other to understand the results of the Company’s operations on a consolidated basis and how management operates the Company.</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operates the Parent Company and the Operating Partnership as one enterprise. The management of the Parent Company consists of the same members as the management of the Operating Partnership.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combining the quarterly reports on Form 10-Q of the Parent Company and the Operating Partnership into a single report will:</w:t>
      </w:r>
    </w:p>
    <w:p>
      <w:pPr>
        <w:spacing w:after="0" w:line="185" w:lineRule="exact"/>
        <w:rPr>
          <w:sz w:val="20"/>
          <w:szCs w:val="20"/>
          <w:color w:val="auto"/>
        </w:rPr>
      </w:pPr>
    </w:p>
    <w:p>
      <w:pPr>
        <w:ind w:left="1460" w:hanging="642"/>
        <w:spacing w:after="0" w:line="281"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a better understanding by the investors of the Parent Company and the Operating Partnership by enabling them to view the business as a whole in the same manner as management views and operates the business;</w:t>
      </w:r>
    </w:p>
    <w:p>
      <w:pPr>
        <w:spacing w:after="0" w:line="1" w:lineRule="exact"/>
        <w:rPr>
          <w:rFonts w:ascii="Times New Roman" w:cs="Times New Roman" w:eastAsia="Times New Roman" w:hAnsi="Times New Roman"/>
          <w:sz w:val="18"/>
          <w:szCs w:val="18"/>
          <w:color w:val="auto"/>
        </w:rPr>
      </w:pPr>
    </w:p>
    <w:p>
      <w:pPr>
        <w:ind w:left="1460" w:hanging="642"/>
        <w:spacing w:after="0" w:line="281"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duplicative disclosures and provide a more straightforward presentation in light of the fact that a substantial portion of the disclosure applies to both the Parent Company and the Operating Partnership; and</w:t>
      </w:r>
    </w:p>
    <w:p>
      <w:pPr>
        <w:spacing w:after="0" w:line="1"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time and cost efficiencies through the preparation of one combined report instead of two separate reports.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a few differences between the Parent Company and the Operating Partnership, which are reflected in the footnote disclosures in this Form 10-Q. The Company believes it is important to understand the differences between the Parent Company and the Operating Partnership in the context of how these entities operate as an interrelated consolidated company. The Parent Company is a REIT, whose only material asset is its ownership of partnership interests of the Operating Partnership. As a result, the Parent Company does not conduct business itself, other than acting as the sole general partner of the Operating Partnership, issuing equity from time to time (and contributing the net proceeds of such issuances to the Operating Partnership) and guaranteeing the debt obligations of the Operating Partnership. The Operating Partnership holds substantially all the assets of the Company, including the Company’s ownership interests in the real estate ventures described below. The Operating Partnership conducts the operations of the Company’s business and is structured as a partnership with no publicly traded equity. Except for net proceeds from equity issuances by the Parent Company, which are contributed to the Operating Partnership in exchange for partnership units, the Operating Partnership generates the capital required by the Company’s business through the Operating Partnership’s operations, by the Operating Partnership’s incurrence of indebtedness (directly and through subsidiaries) and through the issuance of partnership units of the Operating Partnership or equity interests in subsidiaries of the Operating Partnership.</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equity and non-controlling interests in the Parent Company and the Operating Partnership’s equity are the main areas of difference between the consolidated financial statements of the Parent Company and the Operating Partnership. The common units of limited partnership interest in the Operating Partnership are accounted for as partners’ equity in the Operating Partnership’s financial statements while the common units of limited partnership interests held by parties other than the Parent Company are presented as non-controlling interests in the Parent Company’s financial statements. The differences between the Parent Company and the Operating Partnership’s equity relate to the differences in the equity issued at the Parent Company and Operating Partnership levels.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help investors understand the differences between the Parent Company and the Operating Partnership, this Form 10-Q presents the following as separate notes or sections for each of the Parent Company and the Operating Partnership:</w:t>
      </w:r>
    </w:p>
    <w:p>
      <w:pPr>
        <w:spacing w:after="0" w:line="135" w:lineRule="exact"/>
        <w:rPr>
          <w:sz w:val="20"/>
          <w:szCs w:val="20"/>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and</w:t>
      </w:r>
    </w:p>
    <w:p>
      <w:pPr>
        <w:spacing w:after="0" w:line="117"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regarding the Parent Company’s and Operating Partnership’s Equity.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Form 10-Q also includes separate Item 4. (Controls and Procedures) disclosures and separate Exhibit 31 and 32 certifications for each of the Parent Company and the Operating Partnership in order to establish that the Chief Executive Officer and the Chief Financial Officer of each entity have made the requisite certifications and that the Parent Company and Operating Partnership are compliant with Rule 13a-15 or Rule 15d-15 of the Securities Exchange Act of 1934, as amended (the “Exchange Act”), and 18 U.S.C. § 1350.</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highlight the differences between the Parent Company and the Operating Partnership, the separate sections in this Form 10-Q for the Parent Company and the Operating Partnership specifically refer to the Parent Company and the Operating Partnership. In the sections that combine disclosures of the Parent Company and the Operating Partnership, this Form 10-Q refers to such disclosures as those of the Company. Although the Operating Partnership is generally the entity that directly or indirectly enters into contracts and real estate ventures and holds assets and incurs debt, reference to the Company is appropriate because the business is one enterprise and the Parent Company operates the business through the Operating Partnership.</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15"/>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6880" w:type="dxa"/>
            <w:vAlign w:val="bottom"/>
            <w:gridSpan w:val="17"/>
            <w:vMerge w:val="restart"/>
          </w:tcPr>
          <w:p>
            <w:pPr>
              <w:jc w:val="center"/>
              <w:ind w:right="3820"/>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6880" w:type="dxa"/>
            <w:vAlign w:val="bottom"/>
            <w:gridSpan w:val="17"/>
            <w:vMerge w:val="continue"/>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8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3060" w:type="dxa"/>
            <w:vAlign w:val="bottom"/>
            <w:tcBorders>
              <w:top w:val="single" w:sz="8" w:color="0000FF"/>
            </w:tcBorders>
            <w:gridSpan w:val="9"/>
          </w:tcPr>
          <w:p>
            <w:pPr>
              <w:spacing w:after="0"/>
              <w:rPr>
                <w:sz w:val="24"/>
                <w:szCs w:val="24"/>
                <w:color w:val="auto"/>
              </w:rPr>
            </w:pPr>
          </w:p>
        </w:tc>
        <w:tc>
          <w:tcPr>
            <w:tcW w:w="3820" w:type="dxa"/>
            <w:vAlign w:val="bottom"/>
            <w:gridSpan w:val="8"/>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20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Brandywine Realty Trust</w:t>
            </w:r>
          </w:p>
        </w:tc>
        <w:tc>
          <w:tcPr>
            <w:tcW w:w="8620" w:type="dxa"/>
            <w:vAlign w:val="bottom"/>
            <w:gridSpan w:val="21"/>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5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Financial Statements of Brandywine Realty Trust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September 30, 2026 and December 31, 2025</w:t>
            </w:r>
          </w:p>
        </w:tc>
        <w:tc>
          <w:tcPr>
            <w:tcW w:w="480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5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and nine months ended September 30, 2026 and 2025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1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months and nine months ended September 30, 2026 and 2025</w:t>
            </w:r>
          </w:p>
        </w:tc>
        <w:tc>
          <w:tcPr>
            <w:tcW w:w="1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Consolidated Statements of Beneficiaries’ Equity for the three months and nine months ended September 30, 2026 and 2025</w:t>
            </w:r>
          </w:p>
        </w:tc>
        <w:tc>
          <w:tcPr>
            <w:tcW w:w="158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2026 and 2025</w:t>
            </w:r>
          </w:p>
        </w:tc>
        <w:tc>
          <w:tcPr>
            <w:tcW w:w="356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068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5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Financial Statements of Brandywine Operating Partnership, L.P.</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September 30, 2026 and December 31, 2025</w:t>
            </w:r>
          </w:p>
        </w:tc>
        <w:tc>
          <w:tcPr>
            <w:tcW w:w="482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5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and nine months ended September 30, 2026 and 2025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months and nine months ended September 30, 2026 and 2025</w:t>
            </w:r>
          </w:p>
        </w:tc>
        <w:tc>
          <w:tcPr>
            <w:tcW w:w="144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Consolidated Statements of Partners’ Equity for the three months and nine months ended September 30, 2026 and 2025</w:t>
            </w:r>
          </w:p>
        </w:tc>
        <w:tc>
          <w:tcPr>
            <w:tcW w:w="194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2026 and 2025</w:t>
            </w:r>
          </w:p>
        </w:tc>
        <w:tc>
          <w:tcPr>
            <w:tcW w:w="356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66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8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582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40" w:type="dxa"/>
            <w:vAlign w:val="bottom"/>
            <w:gridSpan w:val="16"/>
          </w:tcPr>
          <w:p>
            <w:pPr>
              <w:jc w:val="center"/>
              <w:ind w:right="3960"/>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2060" w:type="dxa"/>
            <w:vAlign w:val="bottom"/>
            <w:gridSpan w:val="7"/>
          </w:tcPr>
          <w:p>
            <w:pPr>
              <w:spacing w:after="0"/>
              <w:rPr>
                <w:sz w:val="24"/>
                <w:szCs w:val="24"/>
                <w:color w:val="auto"/>
              </w:rPr>
            </w:pPr>
          </w:p>
        </w:tc>
        <w:tc>
          <w:tcPr>
            <w:tcW w:w="2740" w:type="dxa"/>
            <w:vAlign w:val="bottom"/>
            <w:tcBorders>
              <w:top w:val="single" w:sz="8" w:color="0000FF"/>
            </w:tcBorders>
            <w:gridSpan w:val="6"/>
          </w:tcPr>
          <w:p>
            <w:pPr>
              <w:spacing w:after="0"/>
              <w:rPr>
                <w:sz w:val="24"/>
                <w:szCs w:val="24"/>
                <w:color w:val="auto"/>
              </w:rPr>
            </w:pPr>
          </w:p>
        </w:tc>
        <w:tc>
          <w:tcPr>
            <w:tcW w:w="398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9080" w:type="dxa"/>
            <w:vAlign w:val="bottom"/>
            <w:gridSpan w:val="24"/>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9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578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800" w:type="dxa"/>
            <w:vAlign w:val="bottom"/>
            <w:gridSpan w:val="19"/>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8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440" w:type="dxa"/>
            <w:vAlign w:val="bottom"/>
            <w:tcBorders>
              <w:top w:val="single" w:sz="8" w:color="0000FF"/>
            </w:tcBorders>
            <w:gridSpan w:val="3"/>
          </w:tcPr>
          <w:p>
            <w:pPr>
              <w:spacing w:after="0"/>
              <w:rPr>
                <w:sz w:val="24"/>
                <w:szCs w:val="24"/>
                <w:color w:val="auto"/>
              </w:rPr>
            </w:pPr>
          </w:p>
        </w:tc>
        <w:tc>
          <w:tcPr>
            <w:tcW w:w="8360" w:type="dxa"/>
            <w:vAlign w:val="bottom"/>
            <w:gridSpan w:val="20"/>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6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520" w:type="dxa"/>
            <w:vAlign w:val="bottom"/>
            <w:gridSpan w:val="25"/>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938"/>
        </w:trPr>
        <w:tc>
          <w:tcPr>
            <w:tcW w:w="160" w:type="dxa"/>
            <w:vAlign w:val="bottom"/>
            <w:gridSpan w:val="3"/>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980" w:type="dxa"/>
            <w:vAlign w:val="bottom"/>
            <w:gridSpan w:val="15"/>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229"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8"/>
          <w:szCs w:val="18"/>
          <w:color w:val="auto"/>
        </w:rPr>
        <w:t>This combined Form 10-Q is being filed separately by Brandywine Realty Trust and Brandywine Operating Partnership, L.P.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846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Glossary</w:t>
            </w:r>
          </w:p>
        </w:tc>
      </w:tr>
      <w:tr>
        <w:trPr>
          <w:trHeight w:val="459"/>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Defined terms used in this Form 10-Q:</w:t>
            </w:r>
          </w:p>
        </w:tc>
      </w:tr>
      <w:tr>
        <w:trPr>
          <w:trHeight w:val="270"/>
        </w:trPr>
        <w:tc>
          <w:tcPr>
            <w:tcW w:w="2780" w:type="dxa"/>
            <w:vAlign w:val="bottom"/>
          </w:tcPr>
          <w:p>
            <w:pPr>
              <w:spacing w:after="0"/>
              <w:rPr>
                <w:sz w:val="23"/>
                <w:szCs w:val="23"/>
                <w:color w:val="auto"/>
              </w:rPr>
            </w:pPr>
          </w:p>
        </w:tc>
        <w:tc>
          <w:tcPr>
            <w:tcW w:w="8460" w:type="dxa"/>
            <w:vAlign w:val="bottom"/>
          </w:tcPr>
          <w:p>
            <w:pPr>
              <w:spacing w:after="0"/>
              <w:rPr>
                <w:sz w:val="23"/>
                <w:szCs w:val="23"/>
                <w:color w:val="auto"/>
              </w:rPr>
            </w:pPr>
          </w:p>
        </w:tc>
      </w:tr>
      <w:tr>
        <w:trPr>
          <w:trHeight w:val="176"/>
        </w:trPr>
        <w:tc>
          <w:tcPr>
            <w:tcW w:w="2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annual rent</w:t>
            </w:r>
          </w:p>
        </w:tc>
        <w:tc>
          <w:tcPr>
            <w:tcW w:w="84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Represents total initial contractual rental rate under the applicable leases (as impacted by free rent) plus contractual</w:t>
            </w:r>
          </w:p>
        </w:tc>
      </w:tr>
      <w:tr>
        <w:trPr>
          <w:trHeight w:val="184"/>
        </w:trPr>
        <w:tc>
          <w:tcPr>
            <w:tcW w:w="2780" w:type="dxa"/>
            <w:vAlign w:val="bottom"/>
            <w:shd w:val="clear" w:color="auto" w:fill="CCEEFF"/>
          </w:tcPr>
          <w:p>
            <w:pPr>
              <w:spacing w:after="0"/>
              <w:rPr>
                <w:sz w:val="16"/>
                <w:szCs w:val="16"/>
                <w:color w:val="auto"/>
              </w:rPr>
            </w:pPr>
          </w:p>
        </w:tc>
        <w:tc>
          <w:tcPr>
            <w:tcW w:w="84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fixed rent increases due under the applicable leases averaged over the total terms (without regard to extension</w:t>
            </w:r>
          </w:p>
        </w:tc>
      </w:tr>
      <w:tr>
        <w:trPr>
          <w:trHeight w:val="180"/>
        </w:trPr>
        <w:tc>
          <w:tcPr>
            <w:tcW w:w="2780" w:type="dxa"/>
            <w:vAlign w:val="bottom"/>
            <w:shd w:val="clear" w:color="auto" w:fill="CCEEFF"/>
          </w:tcPr>
          <w:p>
            <w:pPr>
              <w:spacing w:after="0"/>
              <w:rPr>
                <w:sz w:val="15"/>
                <w:szCs w:val="15"/>
                <w:color w:val="auto"/>
              </w:rPr>
            </w:pPr>
          </w:p>
        </w:tc>
        <w:tc>
          <w:tcPr>
            <w:tcW w:w="84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options) of the applicable leases. For comparison purposes, the Company excludes new leases of space when the</w:t>
            </w:r>
          </w:p>
        </w:tc>
      </w:tr>
      <w:tr>
        <w:trPr>
          <w:trHeight w:val="229"/>
        </w:trPr>
        <w:tc>
          <w:tcPr>
            <w:tcW w:w="2780" w:type="dxa"/>
            <w:vAlign w:val="bottom"/>
            <w:shd w:val="clear" w:color="auto" w:fill="CCEEFF"/>
          </w:tcPr>
          <w:p>
            <w:pPr>
              <w:spacing w:after="0"/>
              <w:rPr>
                <w:sz w:val="19"/>
                <w:szCs w:val="19"/>
                <w:color w:val="auto"/>
              </w:rPr>
            </w:pPr>
          </w:p>
        </w:tc>
        <w:tc>
          <w:tcPr>
            <w:tcW w:w="8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previous lease of such space ended more than 12 months prior to the signing date for the new leases.</w:t>
            </w:r>
          </w:p>
        </w:tc>
      </w:tr>
      <w:tr>
        <w:trPr>
          <w:trHeight w:val="176"/>
        </w:trPr>
        <w:tc>
          <w:tcPr>
            <w:tcW w:w="2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Core Portfolio/Core Properties</w:t>
            </w:r>
          </w:p>
        </w:tc>
        <w:tc>
          <w:tcPr>
            <w:tcW w:w="84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Includes all wholly-owned operating properties. Does not include Properties under development/redevelopment,</w:t>
            </w:r>
          </w:p>
        </w:tc>
      </w:tr>
      <w:tr>
        <w:trPr>
          <w:trHeight w:val="239"/>
        </w:trPr>
        <w:tc>
          <w:tcPr>
            <w:tcW w:w="2780" w:type="dxa"/>
            <w:vAlign w:val="bottom"/>
          </w:tcPr>
          <w:p>
            <w:pPr>
              <w:spacing w:after="0"/>
              <w:rPr>
                <w:sz w:val="20"/>
                <w:szCs w:val="20"/>
                <w:color w:val="auto"/>
              </w:rPr>
            </w:pP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recently completed not-stabilized Properties, and properties held for sale.</w:t>
            </w:r>
          </w:p>
        </w:tc>
      </w:tr>
      <w:tr>
        <w:trPr>
          <w:trHeight w:val="180"/>
        </w:trPr>
        <w:tc>
          <w:tcPr>
            <w:tcW w:w="27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Funds From Operations (“FFO”) and</w:t>
            </w:r>
          </w:p>
        </w:tc>
        <w:tc>
          <w:tcPr>
            <w:tcW w:w="846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Is a non-GAAP financial measure, which the Company believes is useful to investors. The Company computes</w:t>
            </w:r>
          </w:p>
        </w:tc>
      </w:tr>
      <w:tr>
        <w:trPr>
          <w:trHeight w:val="184"/>
        </w:trPr>
        <w:tc>
          <w:tcPr>
            <w:tcW w:w="2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Core Funds from Operations ("Core</w:t>
            </w:r>
          </w:p>
        </w:tc>
        <w:tc>
          <w:tcPr>
            <w:tcW w:w="84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FFO in accordance with standards established by the National Association of Real Estate Investment Trusts</w:t>
            </w:r>
          </w:p>
        </w:tc>
      </w:tr>
      <w:tr>
        <w:trPr>
          <w:trHeight w:val="180"/>
        </w:trPr>
        <w:tc>
          <w:tcPr>
            <w:tcW w:w="27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FFO")</w:t>
            </w:r>
          </w:p>
        </w:tc>
        <w:tc>
          <w:tcPr>
            <w:tcW w:w="84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(NAREIT), which may not be comparable to FFO reported by other REITs that do not compute FFO in accordance</w:t>
            </w:r>
          </w:p>
        </w:tc>
      </w:tr>
      <w:tr>
        <w:trPr>
          <w:trHeight w:val="176"/>
        </w:trPr>
        <w:tc>
          <w:tcPr>
            <w:tcW w:w="2780" w:type="dxa"/>
            <w:vAlign w:val="bottom"/>
            <w:shd w:val="clear" w:color="auto" w:fill="CCEEFF"/>
          </w:tcPr>
          <w:p>
            <w:pPr>
              <w:spacing w:after="0"/>
              <w:rPr>
                <w:sz w:val="15"/>
                <w:szCs w:val="15"/>
                <w:color w:val="auto"/>
              </w:rPr>
            </w:pPr>
          </w:p>
        </w:tc>
        <w:tc>
          <w:tcPr>
            <w:tcW w:w="84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with the NAREIT definition, or that interpret the NAREIT definition differently than the Company. NAREIT</w:t>
            </w:r>
          </w:p>
        </w:tc>
      </w:tr>
      <w:tr>
        <w:trPr>
          <w:trHeight w:val="184"/>
        </w:trPr>
        <w:tc>
          <w:tcPr>
            <w:tcW w:w="2780" w:type="dxa"/>
            <w:vAlign w:val="bottom"/>
            <w:shd w:val="clear" w:color="auto" w:fill="CCEEFF"/>
          </w:tcPr>
          <w:p>
            <w:pPr>
              <w:spacing w:after="0"/>
              <w:rPr>
                <w:sz w:val="16"/>
                <w:szCs w:val="16"/>
                <w:color w:val="auto"/>
              </w:rPr>
            </w:pPr>
          </w:p>
        </w:tc>
        <w:tc>
          <w:tcPr>
            <w:tcW w:w="84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defines FFO as net income (loss) before noncontrolling interests of unitholders (preferred and common) and</w:t>
            </w:r>
          </w:p>
        </w:tc>
      </w:tr>
      <w:tr>
        <w:trPr>
          <w:trHeight w:val="180"/>
        </w:trPr>
        <w:tc>
          <w:tcPr>
            <w:tcW w:w="2780" w:type="dxa"/>
            <w:vAlign w:val="bottom"/>
            <w:shd w:val="clear" w:color="auto" w:fill="CCEEFF"/>
          </w:tcPr>
          <w:p>
            <w:pPr>
              <w:spacing w:after="0"/>
              <w:rPr>
                <w:sz w:val="15"/>
                <w:szCs w:val="15"/>
                <w:color w:val="auto"/>
              </w:rPr>
            </w:pPr>
          </w:p>
        </w:tc>
        <w:tc>
          <w:tcPr>
            <w:tcW w:w="84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excluding gains (losses) on sales of depreciable operating property, impairment losses on depreciable consolidated</w:t>
            </w:r>
          </w:p>
        </w:tc>
      </w:tr>
      <w:tr>
        <w:trPr>
          <w:trHeight w:val="176"/>
        </w:trPr>
        <w:tc>
          <w:tcPr>
            <w:tcW w:w="2780" w:type="dxa"/>
            <w:vAlign w:val="bottom"/>
            <w:shd w:val="clear" w:color="auto" w:fill="CCEEFF"/>
          </w:tcPr>
          <w:p>
            <w:pPr>
              <w:spacing w:after="0"/>
              <w:rPr>
                <w:sz w:val="15"/>
                <w:szCs w:val="15"/>
                <w:color w:val="auto"/>
              </w:rPr>
            </w:pPr>
          </w:p>
        </w:tc>
        <w:tc>
          <w:tcPr>
            <w:tcW w:w="84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real estate, impairment losses on investments in unconsolidated real estate ventures and extraordinary items</w:t>
            </w:r>
          </w:p>
        </w:tc>
      </w:tr>
      <w:tr>
        <w:trPr>
          <w:trHeight w:val="184"/>
        </w:trPr>
        <w:tc>
          <w:tcPr>
            <w:tcW w:w="2780" w:type="dxa"/>
            <w:vAlign w:val="bottom"/>
            <w:shd w:val="clear" w:color="auto" w:fill="CCEEFF"/>
          </w:tcPr>
          <w:p>
            <w:pPr>
              <w:spacing w:after="0"/>
              <w:rPr>
                <w:sz w:val="16"/>
                <w:szCs w:val="16"/>
                <w:color w:val="auto"/>
              </w:rPr>
            </w:pPr>
          </w:p>
        </w:tc>
        <w:tc>
          <w:tcPr>
            <w:tcW w:w="84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(computed  in  accordance  with  GAAP);  plus  real  estate  related  depreciation  and  amortization  (excluding</w:t>
            </w:r>
          </w:p>
        </w:tc>
      </w:tr>
      <w:tr>
        <w:trPr>
          <w:trHeight w:val="180"/>
        </w:trPr>
        <w:tc>
          <w:tcPr>
            <w:tcW w:w="2780" w:type="dxa"/>
            <w:vAlign w:val="bottom"/>
            <w:shd w:val="clear" w:color="auto" w:fill="CCEEFF"/>
          </w:tcPr>
          <w:p>
            <w:pPr>
              <w:spacing w:after="0"/>
              <w:rPr>
                <w:sz w:val="15"/>
                <w:szCs w:val="15"/>
                <w:color w:val="auto"/>
              </w:rPr>
            </w:pPr>
          </w:p>
        </w:tc>
        <w:tc>
          <w:tcPr>
            <w:tcW w:w="84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amortization of deferred financing costs), and after adjustment for unconsolidated real estate ventures. Net income,</w:t>
            </w:r>
          </w:p>
        </w:tc>
      </w:tr>
      <w:tr>
        <w:trPr>
          <w:trHeight w:val="176"/>
        </w:trPr>
        <w:tc>
          <w:tcPr>
            <w:tcW w:w="2780" w:type="dxa"/>
            <w:vAlign w:val="bottom"/>
            <w:shd w:val="clear" w:color="auto" w:fill="CCEEFF"/>
          </w:tcPr>
          <w:p>
            <w:pPr>
              <w:spacing w:after="0"/>
              <w:rPr>
                <w:sz w:val="15"/>
                <w:szCs w:val="15"/>
                <w:color w:val="auto"/>
              </w:rPr>
            </w:pPr>
          </w:p>
        </w:tc>
        <w:tc>
          <w:tcPr>
            <w:tcW w:w="84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the GAAP measure that the Company believes to be most directly comparable to FFO, includes depreciation and</w:t>
            </w:r>
          </w:p>
        </w:tc>
      </w:tr>
      <w:tr>
        <w:trPr>
          <w:trHeight w:val="184"/>
        </w:trPr>
        <w:tc>
          <w:tcPr>
            <w:tcW w:w="2780" w:type="dxa"/>
            <w:vAlign w:val="bottom"/>
            <w:shd w:val="clear" w:color="auto" w:fill="CCEEFF"/>
          </w:tcPr>
          <w:p>
            <w:pPr>
              <w:spacing w:after="0"/>
              <w:rPr>
                <w:sz w:val="16"/>
                <w:szCs w:val="16"/>
                <w:color w:val="auto"/>
              </w:rPr>
            </w:pPr>
          </w:p>
        </w:tc>
        <w:tc>
          <w:tcPr>
            <w:tcW w:w="84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amortization expenses, gains or losses on property sales and noncontrolling interests. FFO per share is calculated by</w:t>
            </w:r>
          </w:p>
        </w:tc>
      </w:tr>
      <w:tr>
        <w:trPr>
          <w:trHeight w:val="234"/>
        </w:trPr>
        <w:tc>
          <w:tcPr>
            <w:tcW w:w="2780" w:type="dxa"/>
            <w:vAlign w:val="bottom"/>
            <w:shd w:val="clear" w:color="auto" w:fill="CCEEFF"/>
          </w:tcPr>
          <w:p>
            <w:pPr>
              <w:spacing w:after="0"/>
              <w:rPr>
                <w:sz w:val="20"/>
                <w:szCs w:val="20"/>
                <w:color w:val="auto"/>
              </w:rPr>
            </w:pPr>
          </w:p>
        </w:tc>
        <w:tc>
          <w:tcPr>
            <w:tcW w:w="8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dividing FFO by fully diluted shares available to common shareholders and limited partnership unitholders.</w:t>
            </w:r>
          </w:p>
        </w:tc>
      </w:tr>
      <w:tr>
        <w:trPr>
          <w:trHeight w:val="297"/>
        </w:trPr>
        <w:tc>
          <w:tcPr>
            <w:tcW w:w="2780" w:type="dxa"/>
            <w:vAlign w:val="bottom"/>
            <w:shd w:val="clear" w:color="auto" w:fill="CCEEFF"/>
          </w:tcPr>
          <w:p>
            <w:pPr>
              <w:spacing w:after="0"/>
              <w:rPr>
                <w:sz w:val="24"/>
                <w:szCs w:val="24"/>
                <w:color w:val="auto"/>
              </w:rPr>
            </w:pPr>
          </w:p>
        </w:tc>
        <w:tc>
          <w:tcPr>
            <w:tcW w:w="8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Core FFO is a computation made by analysts and investors to measure a real estate company’s operating</w:t>
            </w:r>
          </w:p>
        </w:tc>
      </w:tr>
      <w:tr>
        <w:trPr>
          <w:trHeight w:val="184"/>
        </w:trPr>
        <w:tc>
          <w:tcPr>
            <w:tcW w:w="2780" w:type="dxa"/>
            <w:vAlign w:val="bottom"/>
            <w:shd w:val="clear" w:color="auto" w:fill="CCEEFF"/>
          </w:tcPr>
          <w:p>
            <w:pPr>
              <w:spacing w:after="0"/>
              <w:rPr>
                <w:sz w:val="16"/>
                <w:szCs w:val="16"/>
                <w:color w:val="auto"/>
              </w:rPr>
            </w:pPr>
          </w:p>
        </w:tc>
        <w:tc>
          <w:tcPr>
            <w:tcW w:w="84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performance by removing the effect of items that do not reflect ongoing property operations, including items such</w:t>
            </w:r>
          </w:p>
        </w:tc>
      </w:tr>
      <w:tr>
        <w:trPr>
          <w:trHeight w:val="180"/>
        </w:trPr>
        <w:tc>
          <w:tcPr>
            <w:tcW w:w="2780" w:type="dxa"/>
            <w:vAlign w:val="bottom"/>
            <w:shd w:val="clear" w:color="auto" w:fill="CCEEFF"/>
          </w:tcPr>
          <w:p>
            <w:pPr>
              <w:spacing w:after="0"/>
              <w:rPr>
                <w:sz w:val="15"/>
                <w:szCs w:val="15"/>
                <w:color w:val="auto"/>
              </w:rPr>
            </w:pPr>
          </w:p>
        </w:tc>
        <w:tc>
          <w:tcPr>
            <w:tcW w:w="84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as (gains) losses from sales of non-depreciable land and debt extinguishment costs from the determination of FFO.</w:t>
            </w:r>
          </w:p>
        </w:tc>
      </w:tr>
      <w:tr>
        <w:trPr>
          <w:trHeight w:val="175"/>
        </w:trPr>
        <w:tc>
          <w:tcPr>
            <w:tcW w:w="2780" w:type="dxa"/>
            <w:vAlign w:val="bottom"/>
            <w:shd w:val="clear" w:color="auto" w:fill="CCEEFF"/>
          </w:tcPr>
          <w:p>
            <w:pPr>
              <w:spacing w:after="0"/>
              <w:rPr>
                <w:sz w:val="15"/>
                <w:szCs w:val="15"/>
                <w:color w:val="auto"/>
              </w:rPr>
            </w:pPr>
          </w:p>
        </w:tc>
        <w:tc>
          <w:tcPr>
            <w:tcW w:w="84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The Company's calculation of Core FFO may differ from the methodology used for calculating Core FFO by other</w:t>
            </w:r>
          </w:p>
        </w:tc>
      </w:tr>
      <w:tr>
        <w:trPr>
          <w:trHeight w:val="234"/>
        </w:trPr>
        <w:tc>
          <w:tcPr>
            <w:tcW w:w="2780" w:type="dxa"/>
            <w:vAlign w:val="bottom"/>
            <w:shd w:val="clear" w:color="auto" w:fill="CCEEFF"/>
          </w:tcPr>
          <w:p>
            <w:pPr>
              <w:spacing w:after="0"/>
              <w:rPr>
                <w:sz w:val="20"/>
                <w:szCs w:val="20"/>
                <w:color w:val="auto"/>
              </w:rPr>
            </w:pPr>
          </w:p>
        </w:tc>
        <w:tc>
          <w:tcPr>
            <w:tcW w:w="8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REITs and, accordingly, the Company's Core FFO may not be comparable to Core FFO reported by other REITs.</w:t>
            </w:r>
          </w:p>
        </w:tc>
      </w:tr>
      <w:tr>
        <w:trPr>
          <w:trHeight w:val="306"/>
        </w:trPr>
        <w:tc>
          <w:tcPr>
            <w:tcW w:w="2780" w:type="dxa"/>
            <w:vAlign w:val="bottom"/>
            <w:shd w:val="clear" w:color="auto" w:fill="CCEEFF"/>
          </w:tcPr>
          <w:p>
            <w:pPr>
              <w:spacing w:after="0"/>
              <w:rPr>
                <w:sz w:val="24"/>
                <w:szCs w:val="24"/>
                <w:color w:val="auto"/>
              </w:rPr>
            </w:pPr>
          </w:p>
        </w:tc>
        <w:tc>
          <w:tcPr>
            <w:tcW w:w="8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in Item 2 of Part I of</w:t>
            </w:r>
          </w:p>
        </w:tc>
      </w:tr>
      <w:tr>
        <w:trPr>
          <w:trHeight w:val="175"/>
        </w:trPr>
        <w:tc>
          <w:tcPr>
            <w:tcW w:w="2780" w:type="dxa"/>
            <w:vAlign w:val="bottom"/>
            <w:shd w:val="clear" w:color="auto" w:fill="CCEEFF"/>
          </w:tcPr>
          <w:p>
            <w:pPr>
              <w:spacing w:after="0"/>
              <w:rPr>
                <w:sz w:val="15"/>
                <w:szCs w:val="15"/>
                <w:color w:val="auto"/>
              </w:rPr>
            </w:pPr>
          </w:p>
        </w:tc>
        <w:tc>
          <w:tcPr>
            <w:tcW w:w="84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this Form 10-Q for a reconciliation of net income (loss) attributable to common shares, common unitholders to</w:t>
            </w:r>
          </w:p>
        </w:tc>
      </w:tr>
      <w:tr>
        <w:trPr>
          <w:trHeight w:val="243"/>
        </w:trPr>
        <w:tc>
          <w:tcPr>
            <w:tcW w:w="2780" w:type="dxa"/>
            <w:vAlign w:val="bottom"/>
            <w:shd w:val="clear" w:color="auto" w:fill="CCEEFF"/>
          </w:tcPr>
          <w:p>
            <w:pPr>
              <w:spacing w:after="0"/>
              <w:rPr>
                <w:sz w:val="21"/>
                <w:szCs w:val="21"/>
                <w:color w:val="auto"/>
              </w:rPr>
            </w:pPr>
          </w:p>
        </w:tc>
        <w:tc>
          <w:tcPr>
            <w:tcW w:w="8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FFO, and Core FFO.</w:t>
            </w:r>
          </w:p>
        </w:tc>
      </w:tr>
      <w:tr>
        <w:trPr>
          <w:trHeight w:val="175"/>
        </w:trPr>
        <w:tc>
          <w:tcPr>
            <w:tcW w:w="2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Operating Income (“NOI”)</w:t>
            </w:r>
          </w:p>
        </w:tc>
        <w:tc>
          <w:tcPr>
            <w:tcW w:w="84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Is a non-GAAP financial measure, which the Company defines as total revenue less property operating expenses,</w:t>
            </w:r>
          </w:p>
        </w:tc>
      </w:tr>
      <w:tr>
        <w:trPr>
          <w:trHeight w:val="184"/>
        </w:trPr>
        <w:tc>
          <w:tcPr>
            <w:tcW w:w="2780" w:type="dxa"/>
            <w:vAlign w:val="bottom"/>
          </w:tcPr>
          <w:p>
            <w:pPr>
              <w:spacing w:after="0"/>
              <w:rPr>
                <w:sz w:val="16"/>
                <w:szCs w:val="16"/>
                <w:color w:val="auto"/>
              </w:rPr>
            </w:pPr>
          </w:p>
        </w:tc>
        <w:tc>
          <w:tcPr>
            <w:tcW w:w="84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real estate taxes and third-party management expenses. Property operating expenses that are included in</w:t>
            </w:r>
          </w:p>
        </w:tc>
      </w:tr>
      <w:tr>
        <w:trPr>
          <w:trHeight w:val="180"/>
        </w:trPr>
        <w:tc>
          <w:tcPr>
            <w:tcW w:w="2780" w:type="dxa"/>
            <w:vAlign w:val="bottom"/>
          </w:tcPr>
          <w:p>
            <w:pPr>
              <w:spacing w:after="0"/>
              <w:rPr>
                <w:sz w:val="15"/>
                <w:szCs w:val="15"/>
                <w:color w:val="auto"/>
              </w:rPr>
            </w:pPr>
          </w:p>
        </w:tc>
        <w:tc>
          <w:tcPr>
            <w:tcW w:w="84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determining NOI consist of costs that are necessary and allocable to our operating properties such as utilities,</w:t>
            </w:r>
          </w:p>
        </w:tc>
      </w:tr>
      <w:tr>
        <w:trPr>
          <w:trHeight w:val="175"/>
        </w:trPr>
        <w:tc>
          <w:tcPr>
            <w:tcW w:w="2780" w:type="dxa"/>
            <w:vAlign w:val="bottom"/>
          </w:tcPr>
          <w:p>
            <w:pPr>
              <w:spacing w:after="0"/>
              <w:rPr>
                <w:sz w:val="15"/>
                <w:szCs w:val="15"/>
                <w:color w:val="auto"/>
              </w:rPr>
            </w:pPr>
          </w:p>
        </w:tc>
        <w:tc>
          <w:tcPr>
            <w:tcW w:w="84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property-level  salaries,  repairs  and  maintenance,  property  insurance  and  management  fees.  General  and</w:t>
            </w:r>
          </w:p>
        </w:tc>
      </w:tr>
      <w:tr>
        <w:trPr>
          <w:trHeight w:val="184"/>
        </w:trPr>
        <w:tc>
          <w:tcPr>
            <w:tcW w:w="2780" w:type="dxa"/>
            <w:vAlign w:val="bottom"/>
          </w:tcPr>
          <w:p>
            <w:pPr>
              <w:spacing w:after="0"/>
              <w:rPr>
                <w:sz w:val="16"/>
                <w:szCs w:val="16"/>
                <w:color w:val="auto"/>
              </w:rPr>
            </w:pPr>
          </w:p>
        </w:tc>
        <w:tc>
          <w:tcPr>
            <w:tcW w:w="84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administrative expenses that are not reflected in NOI primarily consist of corporate-level salaries, amortization of</w:t>
            </w:r>
          </w:p>
        </w:tc>
      </w:tr>
      <w:tr>
        <w:trPr>
          <w:trHeight w:val="180"/>
        </w:trPr>
        <w:tc>
          <w:tcPr>
            <w:tcW w:w="2780" w:type="dxa"/>
            <w:vAlign w:val="bottom"/>
          </w:tcPr>
          <w:p>
            <w:pPr>
              <w:spacing w:after="0"/>
              <w:rPr>
                <w:sz w:val="15"/>
                <w:szCs w:val="15"/>
                <w:color w:val="auto"/>
              </w:rPr>
            </w:pPr>
          </w:p>
        </w:tc>
        <w:tc>
          <w:tcPr>
            <w:tcW w:w="84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share awards and professional fees that are incurred as part of corporate office management. NOI is a non-GAAP</w:t>
            </w:r>
          </w:p>
        </w:tc>
      </w:tr>
      <w:tr>
        <w:trPr>
          <w:trHeight w:val="175"/>
        </w:trPr>
        <w:tc>
          <w:tcPr>
            <w:tcW w:w="2780" w:type="dxa"/>
            <w:vAlign w:val="bottom"/>
          </w:tcPr>
          <w:p>
            <w:pPr>
              <w:spacing w:after="0"/>
              <w:rPr>
                <w:sz w:val="15"/>
                <w:szCs w:val="15"/>
                <w:color w:val="auto"/>
              </w:rPr>
            </w:pPr>
          </w:p>
        </w:tc>
        <w:tc>
          <w:tcPr>
            <w:tcW w:w="84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financial measure that we report because we believe it is useful to our investors. See Note 13, “Segment</w:t>
            </w:r>
          </w:p>
        </w:tc>
      </w:tr>
      <w:tr>
        <w:trPr>
          <w:trHeight w:val="184"/>
        </w:trPr>
        <w:tc>
          <w:tcPr>
            <w:tcW w:w="2780" w:type="dxa"/>
            <w:vAlign w:val="bottom"/>
          </w:tcPr>
          <w:p>
            <w:pPr>
              <w:spacing w:after="0"/>
              <w:rPr>
                <w:sz w:val="16"/>
                <w:szCs w:val="16"/>
                <w:color w:val="auto"/>
              </w:rPr>
            </w:pPr>
          </w:p>
        </w:tc>
        <w:tc>
          <w:tcPr>
            <w:tcW w:w="84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Information,” to our consolidated financial statements in this Form 10-Q for additional information on NOI,</w:t>
            </w:r>
          </w:p>
        </w:tc>
      </w:tr>
      <w:tr>
        <w:trPr>
          <w:trHeight w:val="234"/>
        </w:trPr>
        <w:tc>
          <w:tcPr>
            <w:tcW w:w="2780" w:type="dxa"/>
            <w:vAlign w:val="bottom"/>
          </w:tcPr>
          <w:p>
            <w:pPr>
              <w:spacing w:after="0"/>
              <w:rPr>
                <w:sz w:val="20"/>
                <w:szCs w:val="20"/>
                <w:color w:val="auto"/>
              </w:rPr>
            </w:pPr>
          </w:p>
        </w:tc>
        <w:tc>
          <w:tcPr>
            <w:tcW w:w="8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including a reconciliation of NOI to our consolidated net income (loss) as defined by GAAP.</w:t>
            </w: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rate</w:t>
            </w:r>
          </w:p>
        </w:tc>
        <w:tc>
          <w:tcPr>
            <w:tcW w:w="8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Includes base rent plus reimbursement for operating expenses and real estate taxes.</w:t>
            </w:r>
          </w:p>
        </w:tc>
      </w:tr>
      <w:tr>
        <w:trPr>
          <w:trHeight w:val="175"/>
        </w:trPr>
        <w:tc>
          <w:tcPr>
            <w:tcW w:w="2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Same Store Properties</w:t>
            </w:r>
          </w:p>
        </w:tc>
        <w:tc>
          <w:tcPr>
            <w:tcW w:w="84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We refer to properties acquired or placed in-service prior to the beginning of the earliest period presented and</w:t>
            </w:r>
          </w:p>
        </w:tc>
      </w:tr>
      <w:tr>
        <w:trPr>
          <w:trHeight w:val="204"/>
        </w:trPr>
        <w:tc>
          <w:tcPr>
            <w:tcW w:w="2780" w:type="dxa"/>
            <w:vAlign w:val="bottom"/>
          </w:tcPr>
          <w:p>
            <w:pPr>
              <w:spacing w:after="0"/>
              <w:rPr>
                <w:sz w:val="17"/>
                <w:szCs w:val="17"/>
                <w:color w:val="auto"/>
              </w:rPr>
            </w:pPr>
          </w:p>
        </w:tc>
        <w:tc>
          <w:tcPr>
            <w:tcW w:w="8460" w:type="dxa"/>
            <w:vAlign w:val="bottom"/>
          </w:tcPr>
          <w:p>
            <w:pPr>
              <w:ind w:left="80"/>
              <w:spacing w:after="0" w:line="204" w:lineRule="exact"/>
              <w:rPr>
                <w:sz w:val="20"/>
                <w:szCs w:val="20"/>
                <w:color w:val="auto"/>
              </w:rPr>
            </w:pPr>
            <w:r>
              <w:rPr>
                <w:rFonts w:ascii="Times New Roman" w:cs="Times New Roman" w:eastAsia="Times New Roman" w:hAnsi="Times New Roman"/>
                <w:sz w:val="18"/>
                <w:szCs w:val="18"/>
                <w:color w:val="auto"/>
              </w:rPr>
              <w:t>owned by us through the end of the latest period presented as Same Store Properties. Same Store Properties</w:t>
            </w:r>
          </w:p>
        </w:tc>
      </w:tr>
    </w:tbl>
    <w:p>
      <w:pPr>
        <w:jc w:val="both"/>
        <w:ind w:left="2860" w:right="20"/>
        <w:spacing w:after="0" w:line="208" w:lineRule="auto"/>
        <w:rPr>
          <w:sz w:val="20"/>
          <w:szCs w:val="20"/>
          <w:color w:val="auto"/>
        </w:rPr>
      </w:pPr>
      <w:r>
        <w:rPr>
          <w:rFonts w:ascii="Times New Roman" w:cs="Times New Roman" w:eastAsia="Times New Roman" w:hAnsi="Times New Roman"/>
          <w:sz w:val="18"/>
          <w:szCs w:val="18"/>
          <w:color w:val="auto"/>
        </w:rPr>
        <w:t>therefore exclude properties placed in-service, acquired, repositioned, held for sale or in development or redevelopment after the beginning of the earliest period presented or disposed of prior to the end of the latest period presented. Accordingly, it takes at least one year and one quarter after a property is acquired for that property to be</w:t>
      </w:r>
    </w:p>
    <w:p>
      <w:pPr>
        <w:spacing w:after="0" w:line="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included in Same Store Properties.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2"/>
                <w:szCs w:val="12"/>
                <w:color w:val="auto"/>
              </w:rPr>
            </w:pP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83"/>
        </w:trPr>
        <w:tc>
          <w:tcPr>
            <w:tcW w:w="8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2"/>
        </w:trPr>
        <w:tc>
          <w:tcPr>
            <w:tcW w:w="8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Real estate investments: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properties</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3,300,851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3,753,780</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Accumulated depreciation</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(1,263,796)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(1,259,090)</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ground leases, net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51,399</w:t>
            </w:r>
          </w:p>
        </w:tc>
        <w:tc>
          <w:tcPr>
            <w:tcW w:w="0" w:type="dxa"/>
            <w:vAlign w:val="bottom"/>
          </w:tcPr>
          <w:p>
            <w:pPr>
              <w:spacing w:after="0"/>
              <w:rPr>
                <w:sz w:val="1"/>
                <w:szCs w:val="1"/>
                <w:color w:val="auto"/>
              </w:rPr>
            </w:pPr>
          </w:p>
        </w:tc>
      </w:tr>
      <w:tr>
        <w:trPr>
          <w:trHeight w:val="182"/>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Right of use asset - operating leases, net</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12,145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17,806</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Operating real estate investments, net</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2,056,144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2,563,895</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Construction-in-progress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118,543</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Land held for development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70,405</w:t>
            </w:r>
          </w:p>
        </w:tc>
        <w:tc>
          <w:tcPr>
            <w:tcW w:w="0" w:type="dxa"/>
            <w:vAlign w:val="bottom"/>
          </w:tcPr>
          <w:p>
            <w:pPr>
              <w:spacing w:after="0"/>
              <w:rPr>
                <w:sz w:val="1"/>
                <w:szCs w:val="1"/>
                <w:color w:val="auto"/>
              </w:rPr>
            </w:pPr>
          </w:p>
        </w:tc>
      </w:tr>
      <w:tr>
        <w:trPr>
          <w:trHeight w:val="183"/>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Prepaid leasehold interests in land held for development, net</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27,762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27,762</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real estate investments, net</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2,246,827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2,780,605</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312,743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32,284</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Restricted cash and escrows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30,018</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receivable</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17,146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22,154</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Accrued rent receivable, net of allowance of $369 and $424 as of September 30, 2026 and December 31, 2025, respectively</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182,651</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Investment in unconsolidated real estate ventures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306,663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314,326</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costs, net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79,549</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Intangible assets, net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22,426</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143,186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122,227</w:t>
            </w:r>
          </w:p>
        </w:tc>
        <w:tc>
          <w:tcPr>
            <w:tcW w:w="0" w:type="dxa"/>
            <w:vAlign w:val="bottom"/>
          </w:tcPr>
          <w:p>
            <w:pPr>
              <w:spacing w:after="0"/>
              <w:rPr>
                <w:sz w:val="1"/>
                <w:szCs w:val="1"/>
                <w:color w:val="auto"/>
              </w:rPr>
            </w:pPr>
          </w:p>
        </w:tc>
      </w:tr>
      <w:tr>
        <w:trPr>
          <w:trHeight w:val="189"/>
        </w:trPr>
        <w:tc>
          <w:tcPr>
            <w:tcW w:w="844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3,276,711</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3,586,240</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BENEFICIARIES' EQUITY</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Secured term loans, net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88,009</w:t>
            </w:r>
          </w:p>
        </w:tc>
        <w:tc>
          <w:tcPr>
            <w:tcW w:w="12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234,079</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Unsecured credit facility</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Unsecured term loans, net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249,695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249,389</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Unsecured senior notes, net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1,934,858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2,073,394</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143,612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143,826</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Distributions payable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14,108</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Deferred income, gains and rent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22,346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22,569</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Intangible liabilities, net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12,713</w:t>
            </w:r>
          </w:p>
        </w:tc>
        <w:tc>
          <w:tcPr>
            <w:tcW w:w="0" w:type="dxa"/>
            <w:vAlign w:val="bottom"/>
          </w:tcPr>
          <w:p>
            <w:pPr>
              <w:spacing w:after="0"/>
              <w:rPr>
                <w:sz w:val="1"/>
                <w:szCs w:val="1"/>
                <w:color w:val="auto"/>
              </w:rPr>
            </w:pPr>
          </w:p>
        </w:tc>
      </w:tr>
      <w:tr>
        <w:trPr>
          <w:trHeight w:val="182"/>
        </w:trPr>
        <w:tc>
          <w:tcPr>
            <w:tcW w:w="84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Lease liability - operating leases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23,720</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14,588</w:t>
            </w:r>
          </w:p>
        </w:tc>
        <w:tc>
          <w:tcPr>
            <w:tcW w:w="0" w:type="dxa"/>
            <w:vAlign w:val="bottom"/>
          </w:tcPr>
          <w:p>
            <w:pPr>
              <w:spacing w:after="0"/>
              <w:rPr>
                <w:sz w:val="1"/>
                <w:szCs w:val="1"/>
                <w:color w:val="auto"/>
              </w:rPr>
            </w:pPr>
          </w:p>
        </w:tc>
      </w:tr>
      <w:tr>
        <w:trPr>
          <w:trHeight w:val="189"/>
        </w:trPr>
        <w:tc>
          <w:tcPr>
            <w:tcW w:w="844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2,625,574</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2,788,386</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Commitments and contingencies (See Note 14)</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Brandywine Realty Trust's Equity:</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4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Common Shares of Brandywine Realty Trust's beneficial interest, $0.01 par value; shares authorized 400,000,000; 170,026,338 and 173,699,039 issued</w:t>
            </w: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0" w:type="dxa"/>
            <w:vAlign w:val="bottom"/>
          </w:tcPr>
          <w:p>
            <w:pPr>
              <w:spacing w:after="0"/>
              <w:rPr>
                <w:sz w:val="1"/>
                <w:szCs w:val="1"/>
                <w:color w:val="auto"/>
              </w:rPr>
            </w:pPr>
          </w:p>
        </w:tc>
      </w:tr>
      <w:tr>
        <w:trPr>
          <w:trHeight w:val="188"/>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and outstanding as of September 30, 2026 and December 31, 2025, respectively</w:t>
            </w:r>
          </w:p>
        </w:tc>
        <w:tc>
          <w:tcPr>
            <w:tcW w:w="1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Additional paid-in-capital</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3,191,409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3,199,838</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compensation payable in common shares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23,069</w:t>
            </w:r>
          </w:p>
        </w:tc>
        <w:tc>
          <w:tcPr>
            <w:tcW w:w="0" w:type="dxa"/>
            <w:vAlign w:val="bottom"/>
          </w:tcPr>
          <w:p>
            <w:pPr>
              <w:spacing w:after="0"/>
              <w:rPr>
                <w:sz w:val="1"/>
                <w:szCs w:val="1"/>
                <w:color w:val="auto"/>
              </w:rPr>
            </w:pPr>
          </w:p>
        </w:tc>
      </w:tr>
      <w:tr>
        <w:trPr>
          <w:trHeight w:val="182"/>
        </w:trPr>
        <w:tc>
          <w:tcPr>
            <w:tcW w:w="8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shares in grantor trust, 2,288,739 and 1,583,000 issued and outstanding as of September 30, 2026 and December 31, 2025, respectively</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(23,069)</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Cumulative earnings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503,217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605,252</w:t>
            </w:r>
          </w:p>
        </w:tc>
        <w:tc>
          <w:tcPr>
            <w:tcW w:w="0" w:type="dxa"/>
            <w:vAlign w:val="bottom"/>
          </w:tcPr>
          <w:p>
            <w:pPr>
              <w:spacing w:after="0"/>
              <w:rPr>
                <w:sz w:val="1"/>
                <w:szCs w:val="1"/>
                <w:color w:val="auto"/>
              </w:rPr>
            </w:pPr>
          </w:p>
        </w:tc>
      </w:tr>
      <w:tr>
        <w:trPr>
          <w:trHeight w:val="182"/>
        </w:trPr>
        <w:tc>
          <w:tcPr>
            <w:tcW w:w="8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Cumulative distributions</w:t>
            </w: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(3,055,059)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(3,012,654)</w:t>
            </w:r>
          </w:p>
        </w:tc>
        <w:tc>
          <w:tcPr>
            <w:tcW w:w="0" w:type="dxa"/>
            <w:vAlign w:val="bottom"/>
          </w:tcPr>
          <w:p>
            <w:pPr>
              <w:spacing w:after="0"/>
              <w:rPr>
                <w:sz w:val="1"/>
                <w:szCs w:val="1"/>
                <w:color w:val="auto"/>
              </w:rPr>
            </w:pPr>
          </w:p>
        </w:tc>
      </w:tr>
      <w:tr>
        <w:trPr>
          <w:trHeight w:val="176"/>
        </w:trPr>
        <w:tc>
          <w:tcPr>
            <w:tcW w:w="8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3"/>
                <w:szCs w:val="13"/>
                <w:color w:val="auto"/>
              </w:rPr>
              <w:t>Total Brandywine Realty Trust's equity</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646,523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792,732</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5,122</w:t>
            </w:r>
          </w:p>
        </w:tc>
        <w:tc>
          <w:tcPr>
            <w:tcW w:w="0" w:type="dxa"/>
            <w:vAlign w:val="bottom"/>
          </w:tcPr>
          <w:p>
            <w:pPr>
              <w:spacing w:after="0"/>
              <w:rPr>
                <w:sz w:val="1"/>
                <w:szCs w:val="1"/>
                <w:color w:val="auto"/>
              </w:rPr>
            </w:pPr>
          </w:p>
        </w:tc>
      </w:tr>
      <w:tr>
        <w:trPr>
          <w:trHeight w:val="176"/>
        </w:trPr>
        <w:tc>
          <w:tcPr>
            <w:tcW w:w="8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3"/>
                <w:szCs w:val="13"/>
                <w:color w:val="auto"/>
              </w:rPr>
              <w:t>Total beneficiaries' equity</w:t>
            </w: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651,137</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797,854</w:t>
            </w:r>
          </w:p>
        </w:tc>
        <w:tc>
          <w:tcPr>
            <w:tcW w:w="0" w:type="dxa"/>
            <w:vAlign w:val="bottom"/>
          </w:tcPr>
          <w:p>
            <w:pPr>
              <w:spacing w:after="0"/>
              <w:rPr>
                <w:sz w:val="1"/>
                <w:szCs w:val="1"/>
                <w:color w:val="auto"/>
              </w:rPr>
            </w:pPr>
          </w:p>
        </w:tc>
      </w:tr>
      <w:tr>
        <w:trPr>
          <w:trHeight w:val="214"/>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liabilities and beneficiaries' equity</w:t>
            </w: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3,276,711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3,586,240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information)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60" w:type="dxa"/>
            <w:vAlign w:val="bottom"/>
          </w:tcPr>
          <w:p>
            <w:pPr>
              <w:spacing w:after="0"/>
              <w:rPr>
                <w:sz w:val="15"/>
                <w:szCs w:val="15"/>
                <w:color w:val="auto"/>
              </w:rPr>
            </w:pPr>
          </w:p>
        </w:tc>
        <w:tc>
          <w:tcPr>
            <w:tcW w:w="2500" w:type="dxa"/>
            <w:vAlign w:val="bottom"/>
            <w:gridSpan w:val="4"/>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9"/>
        </w:trPr>
        <w:tc>
          <w:tcPr>
            <w:tcW w:w="57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54"/>
        </w:trPr>
        <w:tc>
          <w:tcPr>
            <w:tcW w:w="57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Revenue</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4"/>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Rents</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118,661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114,742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362,016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343,366</w:t>
            </w:r>
          </w:p>
        </w:tc>
      </w:tr>
      <w:tr>
        <w:trPr>
          <w:trHeight w:val="170"/>
        </w:trPr>
        <w:tc>
          <w:tcPr>
            <w:tcW w:w="5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Third party management fees, labor reimbursement and leasing</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15,242</w:t>
            </w:r>
          </w:p>
        </w:tc>
      </w:tr>
      <w:tr>
        <w:trPr>
          <w:trHeight w:val="181"/>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6,783</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4,896</w:t>
            </w:r>
          </w:p>
        </w:tc>
      </w:tr>
      <w:tr>
        <w:trPr>
          <w:trHeight w:val="163"/>
        </w:trPr>
        <w:tc>
          <w:tcPr>
            <w:tcW w:w="57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revenue</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125,638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381,562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363,504</w:t>
            </w:r>
          </w:p>
        </w:tc>
      </w:tr>
      <w:tr>
        <w:trPr>
          <w:trHeight w:val="18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5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Property operating expenses</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39,232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116,326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96,303</w:t>
            </w:r>
          </w:p>
        </w:tc>
      </w:tr>
      <w:tr>
        <w:trPr>
          <w:trHeight w:val="181"/>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Real estate taxes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33,988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34,586</w:t>
            </w:r>
          </w:p>
        </w:tc>
      </w:tr>
      <w:tr>
        <w:trPr>
          <w:trHeight w:val="170"/>
        </w:trPr>
        <w:tc>
          <w:tcPr>
            <w:tcW w:w="5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Third party management expenses</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7,467</w:t>
            </w:r>
          </w:p>
        </w:tc>
      </w:tr>
      <w:tr>
        <w:trPr>
          <w:trHeight w:val="181"/>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45,088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43,005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142,068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131,120</w:t>
            </w:r>
          </w:p>
        </w:tc>
      </w:tr>
      <w:tr>
        <w:trPr>
          <w:trHeight w:val="170"/>
        </w:trPr>
        <w:tc>
          <w:tcPr>
            <w:tcW w:w="5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29,552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34,636</w:t>
            </w:r>
          </w:p>
        </w:tc>
      </w:tr>
      <w:tr>
        <w:trPr>
          <w:trHeight w:val="181"/>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Provision for impairment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29,057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40,966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63,369</w:t>
            </w:r>
          </w:p>
        </w:tc>
      </w:tr>
      <w:tr>
        <w:trPr>
          <w:trHeight w:val="163"/>
        </w:trPr>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134,197</w:t>
            </w:r>
          </w:p>
        </w:tc>
        <w:tc>
          <w:tcPr>
            <w:tcW w:w="12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96,255</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369,217</w:t>
            </w:r>
          </w:p>
        </w:tc>
        <w:tc>
          <w:tcPr>
            <w:tcW w:w="12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367,481</w:t>
            </w:r>
          </w:p>
        </w:tc>
      </w:tr>
      <w:tr>
        <w:trPr>
          <w:trHeight w:val="16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Gain on sale of real estate</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0"/>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Net gain on disposition of real estate</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55,689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55,752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3,008</w:t>
            </w:r>
          </w:p>
        </w:tc>
      </w:tr>
      <w:tr>
        <w:trPr>
          <w:trHeight w:val="175"/>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gain on sale of real estate</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55,689</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55,752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3,008</w:t>
            </w:r>
          </w:p>
        </w:tc>
      </w:tr>
      <w:tr>
        <w:trPr>
          <w:trHeight w:val="163"/>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 (loss)</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47,130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68,097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w:t>
            </w:r>
          </w:p>
        </w:tc>
      </w:tr>
      <w:tr>
        <w:trPr>
          <w:trHeight w:val="18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5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3,274</w:t>
            </w:r>
          </w:p>
        </w:tc>
      </w:tr>
      <w:tr>
        <w:trPr>
          <w:trHeight w:val="181"/>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(39,035)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(121,855)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(97,104)</w:t>
            </w:r>
          </w:p>
        </w:tc>
      </w:tr>
      <w:tr>
        <w:trPr>
          <w:trHeight w:val="170"/>
        </w:trPr>
        <w:tc>
          <w:tcPr>
            <w:tcW w:w="5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 amortization of deferred financing costs</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(3,763)</w:t>
            </w:r>
          </w:p>
        </w:tc>
      </w:tr>
      <w:tr>
        <w:trPr>
          <w:trHeight w:val="181"/>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 loss of unconsolidated real estate ventures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(18,183)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(31,597)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(43,526)</w:t>
            </w:r>
          </w:p>
        </w:tc>
      </w:tr>
      <w:tr>
        <w:trPr>
          <w:trHeight w:val="170"/>
        </w:trPr>
        <w:tc>
          <w:tcPr>
            <w:tcW w:w="5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gain on real estate venture transactions</w:t>
            </w:r>
          </w:p>
        </w:tc>
        <w:tc>
          <w:tcPr>
            <w:tcW w:w="2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r>
      <w:tr>
        <w:trPr>
          <w:trHeight w:val="181"/>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early extinguishment of debt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before income taxes</w:t>
            </w: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(22,099)</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(25,998)</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(102,414)</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(141,905)</w:t>
            </w:r>
          </w:p>
        </w:tc>
      </w:tr>
      <w:tr>
        <w:trPr>
          <w:trHeight w:val="181"/>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 provision</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63"/>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(22,142)</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(25,998)</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(102,481)</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(141,990)</w:t>
            </w:r>
          </w:p>
        </w:tc>
      </w:tr>
      <w:tr>
        <w:trPr>
          <w:trHeight w:val="18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r>
      <w:tr>
        <w:trPr>
          <w:trHeight w:val="163"/>
        </w:trPr>
        <w:tc>
          <w:tcPr>
            <w:tcW w:w="57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Net loss attributable to Brandywine Realty Trust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(22,034)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(102,035)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(141,563)</w:t>
            </w:r>
          </w:p>
        </w:tc>
      </w:tr>
      <w:tr>
        <w:trPr>
          <w:trHeight w:val="175"/>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Nonforfeitable dividends allocated to unvested restricted shareholders</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r>
      <w:tr>
        <w:trPr>
          <w:trHeight w:val="175"/>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attributable to Common Shareholders of Brandywine Realty Trust</w:t>
            </w: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(22,262)</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(26,232)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(102,829)</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(142,627)</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5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5"/>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loss per Common Share</w:t>
            </w: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(0.82)</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5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5"/>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loss per Common Share</w:t>
            </w: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(0.82)</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5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1"/>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weighted average shares outstanding</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172,010,229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173,699,312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173,377,458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173,385,330</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weighted average shares outstanding</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172,010,229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173,699,312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173,377,458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173,385,330</w:t>
            </w: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9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6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3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(141,990)</w:t>
            </w:r>
          </w:p>
        </w:tc>
      </w:tr>
      <w:tr>
        <w:trPr>
          <w:trHeight w:val="195"/>
        </w:trPr>
        <w:tc>
          <w:tcPr>
            <w:tcW w:w="5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(loss) on derivative financial instruments</w:t>
            </w: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w:t>
            </w:r>
          </w:p>
        </w:tc>
      </w:tr>
      <w:tr>
        <w:trPr>
          <w:trHeight w:val="189"/>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8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(4,090)</w:t>
            </w:r>
          </w:p>
        </w:tc>
      </w:tr>
      <w:tr>
        <w:trPr>
          <w:trHeight w:val="20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(146,080)</w:t>
            </w:r>
          </w:p>
        </w:tc>
      </w:tr>
      <w:tr>
        <w:trPr>
          <w:trHeight w:val="196"/>
        </w:trPr>
        <w:tc>
          <w:tcPr>
            <w:tcW w:w="5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r>
      <w:tr>
        <w:trPr>
          <w:trHeight w:val="221"/>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Brandywine Realty Trust</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(26,357)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(95,336)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(145,640)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BENEFICIARIES’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BALANCE, December 31, 2025</w:t>
      </w:r>
    </w:p>
    <w:p>
      <w:pPr>
        <w:spacing w:after="0" w:line="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Net loss</w:t>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comprehensive income</w:t>
      </w:r>
    </w:p>
    <w:p>
      <w:pPr>
        <w:spacing w:after="0" w:line="53" w:lineRule="exact"/>
        <w:rPr>
          <w:sz w:val="20"/>
          <w:szCs w:val="20"/>
          <w:color w:val="auto"/>
        </w:rPr>
      </w:pPr>
    </w:p>
    <w:p>
      <w:pPr>
        <w:jc w:val="both"/>
        <w:ind w:left="140" w:right="80"/>
        <w:spacing w:after="0" w:line="250" w:lineRule="auto"/>
        <w:rPr>
          <w:sz w:val="20"/>
          <w:szCs w:val="20"/>
          <w:color w:val="auto"/>
        </w:rPr>
      </w:pPr>
      <w:r>
        <w:rPr>
          <w:rFonts w:ascii="Times New Roman" w:cs="Times New Roman" w:eastAsia="Times New Roman" w:hAnsi="Times New Roman"/>
          <w:sz w:val="13"/>
          <w:szCs w:val="13"/>
          <w:color w:val="auto"/>
        </w:rPr>
        <w:t>Repurchase and retirement of Common Shares of Beneficial Interest</w:t>
      </w:r>
    </w:p>
    <w:p>
      <w:pPr>
        <w:spacing w:after="0" w:line="46" w:lineRule="exact"/>
        <w:rPr>
          <w:sz w:val="20"/>
          <w:szCs w:val="20"/>
          <w:color w:val="auto"/>
        </w:rPr>
      </w:pPr>
    </w:p>
    <w:p>
      <w:pPr>
        <w:ind w:left="140" w:right="240"/>
        <w:spacing w:after="0" w:line="262" w:lineRule="auto"/>
        <w:rPr>
          <w:sz w:val="20"/>
          <w:szCs w:val="20"/>
          <w:color w:val="auto"/>
        </w:rPr>
      </w:pPr>
      <w:r>
        <w:rPr>
          <w:rFonts w:ascii="Times New Roman" w:cs="Times New Roman" w:eastAsia="Times New Roman" w:hAnsi="Times New Roman"/>
          <w:sz w:val="13"/>
          <w:szCs w:val="13"/>
          <w:color w:val="auto"/>
        </w:rPr>
        <w:t>Share-based compensation activity</w:t>
      </w:r>
    </w:p>
    <w:p>
      <w:pPr>
        <w:spacing w:after="0" w:line="25" w:lineRule="exact"/>
        <w:rPr>
          <w:sz w:val="20"/>
          <w:szCs w:val="20"/>
          <w:color w:val="auto"/>
        </w:rPr>
      </w:pPr>
    </w:p>
    <w:p>
      <w:pPr>
        <w:ind w:left="140" w:right="140"/>
        <w:spacing w:after="0" w:line="303" w:lineRule="auto"/>
        <w:rPr>
          <w:sz w:val="20"/>
          <w:szCs w:val="20"/>
          <w:color w:val="auto"/>
        </w:rPr>
      </w:pPr>
      <w:r>
        <w:rPr>
          <w:rFonts w:ascii="Times New Roman" w:cs="Times New Roman" w:eastAsia="Times New Roman" w:hAnsi="Times New Roman"/>
          <w:sz w:val="12"/>
          <w:szCs w:val="12"/>
          <w:color w:val="auto"/>
        </w:rPr>
        <w:t>Share Issuance from/(to) Deferred Compensation Plan</w:t>
      </w:r>
    </w:p>
    <w:p>
      <w:pPr>
        <w:spacing w:after="0" w:line="3" w:lineRule="exact"/>
        <w:rPr>
          <w:sz w:val="20"/>
          <w:szCs w:val="20"/>
          <w:color w:val="auto"/>
        </w:rPr>
      </w:pPr>
    </w:p>
    <w:p>
      <w:pPr>
        <w:ind w:left="140" w:right="20"/>
        <w:spacing w:after="0" w:line="262" w:lineRule="auto"/>
        <w:rPr>
          <w:sz w:val="20"/>
          <w:szCs w:val="20"/>
          <w:color w:val="auto"/>
        </w:rPr>
      </w:pPr>
      <w:r>
        <w:rPr>
          <w:rFonts w:ascii="Times New Roman" w:cs="Times New Roman" w:eastAsia="Times New Roman" w:hAnsi="Times New Roman"/>
          <w:sz w:val="13"/>
          <w:szCs w:val="13"/>
          <w:color w:val="auto"/>
        </w:rPr>
        <w:t>Reallocation of Noncontrolling interest</w:t>
      </w:r>
    </w:p>
    <w:p>
      <w:pPr>
        <w:spacing w:after="0" w:line="25" w:lineRule="exact"/>
        <w:rPr>
          <w:sz w:val="20"/>
          <w:szCs w:val="20"/>
          <w:color w:val="auto"/>
        </w:rPr>
      </w:pPr>
    </w:p>
    <w:p>
      <w:pPr>
        <w:ind w:left="140" w:right="120"/>
        <w:spacing w:after="0" w:line="262" w:lineRule="auto"/>
        <w:rPr>
          <w:sz w:val="20"/>
          <w:szCs w:val="20"/>
          <w:color w:val="auto"/>
        </w:rPr>
      </w:pPr>
      <w:r>
        <w:rPr>
          <w:rFonts w:ascii="Times New Roman" w:cs="Times New Roman" w:eastAsia="Times New Roman" w:hAnsi="Times New Roman"/>
          <w:sz w:val="13"/>
          <w:szCs w:val="13"/>
          <w:color w:val="auto"/>
        </w:rPr>
        <w:t>Distributions declared ($0.08 per share)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2026</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Net loss</w:t>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comprehensive income</w:t>
      </w:r>
    </w:p>
    <w:p>
      <w:pPr>
        <w:spacing w:after="0" w:line="53" w:lineRule="exact"/>
        <w:rPr>
          <w:sz w:val="20"/>
          <w:szCs w:val="20"/>
          <w:color w:val="auto"/>
        </w:rPr>
      </w:pPr>
    </w:p>
    <w:p>
      <w:pPr>
        <w:ind w:left="140" w:right="240"/>
        <w:spacing w:after="0" w:line="262" w:lineRule="auto"/>
        <w:rPr>
          <w:sz w:val="20"/>
          <w:szCs w:val="20"/>
          <w:color w:val="auto"/>
        </w:rPr>
      </w:pPr>
      <w:r>
        <w:rPr>
          <w:rFonts w:ascii="Times New Roman" w:cs="Times New Roman" w:eastAsia="Times New Roman" w:hAnsi="Times New Roman"/>
          <w:sz w:val="13"/>
          <w:szCs w:val="13"/>
          <w:color w:val="auto"/>
        </w:rPr>
        <w:t>Share-based compensation activity</w:t>
      </w:r>
    </w:p>
    <w:p>
      <w:pPr>
        <w:spacing w:after="0" w:line="25" w:lineRule="exact"/>
        <w:rPr>
          <w:sz w:val="20"/>
          <w:szCs w:val="20"/>
          <w:color w:val="auto"/>
        </w:rPr>
      </w:pPr>
    </w:p>
    <w:p>
      <w:pPr>
        <w:ind w:left="140" w:right="20"/>
        <w:spacing w:after="0" w:line="262" w:lineRule="auto"/>
        <w:rPr>
          <w:sz w:val="20"/>
          <w:szCs w:val="20"/>
          <w:color w:val="auto"/>
        </w:rPr>
      </w:pPr>
      <w:r>
        <w:rPr>
          <w:rFonts w:ascii="Times New Roman" w:cs="Times New Roman" w:eastAsia="Times New Roman" w:hAnsi="Times New Roman"/>
          <w:sz w:val="13"/>
          <w:szCs w:val="13"/>
          <w:color w:val="auto"/>
        </w:rPr>
        <w:t>Reallocation of Noncontrolling interest</w:t>
      </w:r>
    </w:p>
    <w:p>
      <w:pPr>
        <w:spacing w:after="0" w:line="25" w:lineRule="exact"/>
        <w:rPr>
          <w:sz w:val="20"/>
          <w:szCs w:val="20"/>
          <w:color w:val="auto"/>
        </w:rPr>
      </w:pPr>
    </w:p>
    <w:p>
      <w:pPr>
        <w:ind w:left="140" w:right="120"/>
        <w:spacing w:after="0" w:line="262" w:lineRule="auto"/>
        <w:rPr>
          <w:sz w:val="20"/>
          <w:szCs w:val="20"/>
          <w:color w:val="auto"/>
        </w:rPr>
      </w:pPr>
      <w:r>
        <w:rPr>
          <w:rFonts w:ascii="Times New Roman" w:cs="Times New Roman" w:eastAsia="Times New Roman" w:hAnsi="Times New Roman"/>
          <w:sz w:val="13"/>
          <w:szCs w:val="13"/>
          <w:color w:val="auto"/>
        </w:rPr>
        <w:t>Distributions declared ($0.08 per share)</w:t>
      </w:r>
    </w:p>
    <w:p>
      <w:pPr>
        <w:spacing w:after="0" w:line="25" w:lineRule="exact"/>
        <w:rPr>
          <w:sz w:val="20"/>
          <w:szCs w:val="20"/>
          <w:color w:val="auto"/>
        </w:rPr>
      </w:pPr>
    </w:p>
    <w:p>
      <w:pPr>
        <w:ind w:left="140"/>
        <w:spacing w:after="0" w:line="303" w:lineRule="auto"/>
        <w:rPr>
          <w:sz w:val="20"/>
          <w:szCs w:val="20"/>
          <w:color w:val="auto"/>
        </w:rPr>
      </w:pPr>
      <w:r>
        <w:rPr>
          <w:rFonts w:ascii="Times New Roman" w:cs="Times New Roman" w:eastAsia="Times New Roman" w:hAnsi="Times New Roman"/>
          <w:sz w:val="12"/>
          <w:szCs w:val="12"/>
          <w:color w:val="auto"/>
        </w:rPr>
        <w:t>Distributions to Noncontrolling interest holders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4"/>
              </w:rPr>
              <w:t>Common</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4"/>
              </w:rPr>
              <w:t>Shares of</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8"/>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Number of</w:t>
            </w:r>
          </w:p>
        </w:tc>
        <w:tc>
          <w:tcPr>
            <w:tcW w:w="8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7"/>
              </w:rPr>
              <w:t>Brandywine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9"/>
              </w:rPr>
              <w:t>Deferred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Rabbi</w:t>
            </w:r>
          </w:p>
        </w:tc>
        <w:tc>
          <w:tcPr>
            <w:tcW w:w="8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Realty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Compensation</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Accumulated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8"/>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Number of</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Trust/Deferred</w:t>
            </w: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Trust's</w:t>
            </w:r>
          </w:p>
        </w:tc>
        <w:tc>
          <w:tcPr>
            <w:tcW w:w="12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7"/>
              </w:rPr>
              <w:t>Additional</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Payable in</w:t>
            </w:r>
          </w:p>
        </w:tc>
        <w:tc>
          <w:tcPr>
            <w:tcW w:w="12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4"/>
              </w:rPr>
              <w:t>Other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8"/>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Common</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5"/>
              </w:rPr>
              <w:t>Compensation</w:t>
            </w:r>
          </w:p>
        </w:tc>
        <w:tc>
          <w:tcPr>
            <w:tcW w:w="8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beneficial</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Paid-in</w:t>
            </w: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4"/>
              </w:rPr>
              <w:t>Common</w:t>
            </w:r>
          </w:p>
        </w:tc>
        <w:tc>
          <w:tcPr>
            <w:tcW w:w="12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Shares in</w:t>
            </w:r>
          </w:p>
        </w:tc>
        <w:tc>
          <w:tcPr>
            <w:tcW w:w="10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Cumulative</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7"/>
              </w:rPr>
              <w:t>Comprehensive</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5"/>
              </w:rPr>
              <w:t>Cumulative</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Noncontrolling</w:t>
            </w:r>
          </w:p>
        </w:tc>
        <w:tc>
          <w:tcPr>
            <w:tcW w:w="600" w:type="dxa"/>
            <w:vAlign w:val="bottom"/>
          </w:tcPr>
          <w:p>
            <w:pPr>
              <w:spacing w:after="0"/>
              <w:rPr>
                <w:sz w:val="12"/>
                <w:szCs w:val="12"/>
                <w:color w:val="auto"/>
              </w:rPr>
            </w:pPr>
          </w:p>
        </w:tc>
      </w:tr>
      <w:tr>
        <w:trPr>
          <w:trHeight w:val="178"/>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2"/>
              </w:rPr>
              <w:t>Shares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Shares</w:t>
            </w:r>
          </w:p>
        </w:tc>
        <w:tc>
          <w:tcPr>
            <w:tcW w:w="8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9"/>
              </w:rPr>
              <w:t>interest</w:t>
            </w:r>
          </w:p>
        </w:tc>
        <w:tc>
          <w:tcPr>
            <w:tcW w:w="12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Capital</w:t>
            </w:r>
          </w:p>
        </w:tc>
        <w:tc>
          <w:tcPr>
            <w:tcW w:w="12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Shares</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Grantor Trust</w:t>
            </w:r>
          </w:p>
        </w:tc>
        <w:tc>
          <w:tcPr>
            <w:tcW w:w="10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Earnings</w:t>
            </w: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color w:val="auto"/>
                <w:w w:val="98"/>
              </w:rPr>
              <w:t>Income (Loss)</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7"/>
              </w:rPr>
              <w:t>Distributions</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Interests</w:t>
            </w: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Total</w:t>
            </w:r>
          </w:p>
        </w:tc>
      </w:tr>
      <w:tr>
        <w:trPr>
          <w:trHeight w:val="29"/>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0"/>
        </w:trPr>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173,699,039</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1,583,000</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1,733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3,199,838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23,069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(23,069)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605,252</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(1,437)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(3,012,654)</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5,122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$ 797,854</w:t>
            </w:r>
          </w:p>
        </w:tc>
      </w:tr>
      <w:tr>
        <w:trPr>
          <w:trHeight w:val="189"/>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8"/>
              </w:rPr>
              <w:t>(48,591)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(48,804)</w:t>
            </w:r>
          </w:p>
        </w:tc>
      </w:tr>
      <w:tr>
        <w:trPr>
          <w:trHeight w:val="203"/>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w:t>
            </w:r>
          </w:p>
        </w:tc>
      </w:tr>
      <w:tr>
        <w:trPr>
          <w:trHeight w:val="513"/>
        </w:trPr>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(2,170)</w:t>
            </w:r>
          </w:p>
        </w:tc>
      </w:tr>
      <w:tr>
        <w:trPr>
          <w:trHeight w:val="351"/>
        </w:trPr>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724,931</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400,441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5,400</w:t>
            </w:r>
          </w:p>
        </w:tc>
      </w:tr>
      <w:tr>
        <w:trPr>
          <w:trHeight w:val="351"/>
        </w:trPr>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(12,125)</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(36,091)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r>
      <w:tr>
        <w:trPr>
          <w:trHeight w:val="351"/>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51"/>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(14,256)</w:t>
            </w:r>
          </w:p>
        </w:tc>
      </w:tr>
      <w:tr>
        <w:trPr>
          <w:trHeight w:val="29"/>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67"/>
        </w:trPr>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173,711,845</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1,947,350</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1,733</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3,202,662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24,282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(24,282)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556,661</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(3,026,869)</w:t>
            </w:r>
          </w:p>
        </w:tc>
        <w:tc>
          <w:tcPr>
            <w:tcW w:w="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4,879</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$ 739,192</w:t>
            </w:r>
          </w:p>
        </w:tc>
      </w:tr>
      <w:tr>
        <w:trPr>
          <w:trHeight w:val="29"/>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67"/>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8"/>
              </w:rPr>
              <w:t>(31,410)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(31,535)</w:t>
            </w:r>
          </w:p>
        </w:tc>
      </w:tr>
      <w:tr>
        <w:trPr>
          <w:trHeight w:val="203"/>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w:t>
            </w:r>
          </w:p>
        </w:tc>
      </w:tr>
      <w:tr>
        <w:trPr>
          <w:trHeight w:val="351"/>
        </w:trPr>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900,011</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429,257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2,067</w:t>
            </w:r>
          </w:p>
        </w:tc>
      </w:tr>
      <w:tr>
        <w:trPr>
          <w:trHeight w:val="351"/>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51"/>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(14,258)</w:t>
            </w:r>
          </w:p>
        </w:tc>
      </w:tr>
      <w:tr>
        <w:trPr>
          <w:trHeight w:val="351"/>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-2912110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-2646680</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-2192020</wp:posOffset>
            </wp:positionV>
            <wp:extent cx="71323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-1746250</wp:posOffset>
            </wp:positionV>
            <wp:extent cx="71323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-1300480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-1000760</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-648970</wp:posOffset>
            </wp:positionV>
            <wp:extent cx="713232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-203200</wp:posOffset>
            </wp:positionV>
            <wp:extent cx="7132320" cy="231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1740" w:space="60"/>
            <w:col w:w="94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June 30, 2026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174,611,856</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2,376,607</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1,740</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3,204,718</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25,467</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(25,467)</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525,251</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573</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(3,041,100)</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4,718</w:t>
            </w: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$ 695,900</w:t>
            </w:r>
          </w:p>
        </w:tc>
      </w:tr>
      <w:tr>
        <w:trPr>
          <w:trHeight w:val="20"/>
        </w:trPr>
        <w:tc>
          <w:tcPr>
            <w:tcW w:w="18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8"/>
        </w:trPr>
        <w:tc>
          <w:tcPr>
            <w:tcW w:w="1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8"/>
              </w:rPr>
              <w:t>(22,034)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(22,142)</w:t>
            </w:r>
          </w:p>
        </w:tc>
      </w:tr>
      <w:tr>
        <w:trPr>
          <w:trHeight w:val="173"/>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4,704</w:t>
            </w:r>
          </w:p>
        </w:tc>
      </w:tr>
      <w:tr>
        <w:trPr>
          <w:trHeight w:val="30"/>
        </w:trPr>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57"/>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Repurchase and retirement of</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49"/>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Shares of Beneficial</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87"/>
        </w:trPr>
        <w:tc>
          <w:tcPr>
            <w:tcW w:w="1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(4,666,266)</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(14,896)</w:t>
            </w:r>
          </w:p>
        </w:tc>
      </w:tr>
      <w:tr>
        <w:trPr>
          <w:trHeight w:val="157"/>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4"/>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activity</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115,710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w:t>
            </w:r>
          </w:p>
        </w:tc>
      </w:tr>
      <w:tr>
        <w:trPr>
          <w:trHeight w:val="30"/>
        </w:trPr>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57"/>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 Issuance from/(to)</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74"/>
        </w:trPr>
        <w:tc>
          <w:tcPr>
            <w:tcW w:w="1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Compensation Plan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(34,962)</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(87,868)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57"/>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Reallocation of Noncontrolling</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4"/>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57"/>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declared ($0.08</w:t>
            </w: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74"/>
        </w:trPr>
        <w:tc>
          <w:tcPr>
            <w:tcW w:w="1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per share)</w:t>
            </w: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(13,872)</w:t>
            </w:r>
          </w:p>
        </w:tc>
      </w:tr>
      <w:tr>
        <w:trPr>
          <w:trHeight w:val="157"/>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9"/>
              </w:rPr>
              <w:t>Distributions to Noncontrolling</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4"/>
        </w:trPr>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holders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r>
      <w:tr>
        <w:trPr>
          <w:trHeight w:val="30"/>
        </w:trPr>
        <w:tc>
          <w:tcPr>
            <w:tcW w:w="18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1"/>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BALANCE, September 30, 2026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170,026,338</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2,288,739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1,694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3,191,409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25,467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(25,467)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503,217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5,262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(3,055,059)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4,614</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$ 651,137</w:t>
            </w:r>
          </w:p>
        </w:tc>
      </w:tr>
      <w:tr>
        <w:trPr>
          <w:trHeight w:val="20"/>
        </w:trPr>
        <w:tc>
          <w:tcPr>
            <w:tcW w:w="180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BENEFICIARIES’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9"/>
              </w:rPr>
              <w:t>Common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8"/>
              </w:rPr>
              <w:t>Shares of</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Number of</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Brandywine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5"/>
              </w:rPr>
              <w:t>Deferred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Rabbi</w:t>
            </w:r>
          </w:p>
        </w:tc>
        <w:tc>
          <w:tcPr>
            <w:tcW w:w="10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Realty</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5"/>
              </w:rPr>
              <w:t>Compensation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Accumulated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Number of</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Trust/Deferred</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Trust's</w:t>
            </w:r>
          </w:p>
        </w:tc>
        <w:tc>
          <w:tcPr>
            <w:tcW w:w="10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7"/>
              </w:rPr>
              <w:t>Additional</w:t>
            </w:r>
          </w:p>
        </w:tc>
        <w:tc>
          <w:tcPr>
            <w:tcW w:w="8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Payable</w:t>
            </w:r>
          </w:p>
        </w:tc>
        <w:tc>
          <w:tcPr>
            <w:tcW w:w="12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Common</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4"/>
              </w:rPr>
              <w:t>Other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Common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Compensation</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beneficial</w:t>
            </w:r>
          </w:p>
        </w:tc>
        <w:tc>
          <w:tcPr>
            <w:tcW w:w="10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Paid-in</w:t>
            </w:r>
          </w:p>
        </w:tc>
        <w:tc>
          <w:tcPr>
            <w:tcW w:w="8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in Common</w:t>
            </w:r>
          </w:p>
        </w:tc>
        <w:tc>
          <w:tcPr>
            <w:tcW w:w="12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Shares in</w:t>
            </w:r>
          </w:p>
        </w:tc>
        <w:tc>
          <w:tcPr>
            <w:tcW w:w="8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Cumulative</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Comprehensive</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5"/>
              </w:rPr>
              <w:t>Cumulative</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Noncontrolling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Shares</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2"/>
              </w:rPr>
              <w:t>Shares</w:t>
            </w: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3"/>
              </w:rPr>
              <w:t>interest</w:t>
            </w: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Capital</w:t>
            </w:r>
          </w:p>
        </w:tc>
        <w:tc>
          <w:tcPr>
            <w:tcW w:w="80" w:type="dxa"/>
            <w:vAlign w:val="bottom"/>
          </w:tcPr>
          <w:p>
            <w:pPr>
              <w:spacing w:after="0"/>
              <w:rPr>
                <w:sz w:val="15"/>
                <w:szCs w:val="15"/>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Shares</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Grantor Trust</w:t>
            </w:r>
          </w:p>
        </w:tc>
        <w:tc>
          <w:tcPr>
            <w:tcW w:w="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Earnings</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w w:val="95"/>
              </w:rPr>
              <w:t>Income (Loss)</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w w:val="97"/>
              </w:rPr>
              <w:t>Distributions</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Interests</w:t>
            </w:r>
          </w:p>
        </w:tc>
        <w:tc>
          <w:tcPr>
            <w:tcW w:w="100" w:type="dxa"/>
            <w:vAlign w:val="bottom"/>
          </w:tcPr>
          <w:p>
            <w:pPr>
              <w:spacing w:after="0"/>
              <w:rPr>
                <w:sz w:val="15"/>
                <w:szCs w:val="15"/>
                <w:color w:val="auto"/>
              </w:rPr>
            </w:pP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29"/>
        </w:trPr>
        <w:tc>
          <w:tcPr>
            <w:tcW w:w="18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86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b w:val="1"/>
                <w:bCs w:val="1"/>
                <w:color w:val="auto"/>
              </w:rPr>
              <w:t>BALANCE, December 31,</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172,665,995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1,221,333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3,182,621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20,456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(20,456)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783,499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2,521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(2,931,730)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1,044,587</w:t>
            </w:r>
          </w:p>
        </w:tc>
        <w:tc>
          <w:tcPr>
            <w:tcW w:w="0" w:type="dxa"/>
            <w:vAlign w:val="bottom"/>
          </w:tcPr>
          <w:p>
            <w:pPr>
              <w:spacing w:after="0"/>
              <w:rPr>
                <w:sz w:val="1"/>
                <w:szCs w:val="1"/>
                <w:color w:val="auto"/>
              </w:rPr>
            </w:pPr>
          </w:p>
        </w:tc>
      </w:tr>
      <w:tr>
        <w:trPr>
          <w:trHeight w:val="173"/>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8"/>
              </w:rPr>
              <w:t>(26,975)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(27,056)</w:t>
            </w:r>
          </w:p>
        </w:tc>
        <w:tc>
          <w:tcPr>
            <w:tcW w:w="0" w:type="dxa"/>
            <w:vAlign w:val="bottom"/>
          </w:tcPr>
          <w:p>
            <w:pPr>
              <w:spacing w:after="0"/>
              <w:rPr>
                <w:sz w:val="1"/>
                <w:szCs w:val="1"/>
                <w:color w:val="auto"/>
              </w:rPr>
            </w:pPr>
          </w:p>
        </w:tc>
      </w:tr>
      <w:tr>
        <w:trPr>
          <w:trHeight w:val="29"/>
        </w:trPr>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w:t>
            </w:r>
          </w:p>
        </w:tc>
        <w:tc>
          <w:tcPr>
            <w:tcW w:w="0" w:type="dxa"/>
            <w:vAlign w:val="bottom"/>
          </w:tcPr>
          <w:p>
            <w:pPr>
              <w:spacing w:after="0"/>
              <w:rPr>
                <w:sz w:val="1"/>
                <w:szCs w:val="1"/>
                <w:color w:val="auto"/>
              </w:rPr>
            </w:pPr>
          </w:p>
        </w:tc>
      </w:tr>
      <w:tr>
        <w:trPr>
          <w:trHeight w:val="157"/>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activity</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439,776</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258,549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11,298</w:t>
            </w:r>
          </w:p>
        </w:tc>
        <w:tc>
          <w:tcPr>
            <w:tcW w:w="0" w:type="dxa"/>
            <w:vAlign w:val="bottom"/>
          </w:tcPr>
          <w:p>
            <w:pPr>
              <w:spacing w:after="0"/>
              <w:rPr>
                <w:sz w:val="1"/>
                <w:szCs w:val="1"/>
                <w:color w:val="auto"/>
              </w:rPr>
            </w:pPr>
          </w:p>
        </w:tc>
      </w:tr>
      <w:tr>
        <w:trPr>
          <w:trHeight w:val="29"/>
        </w:trPr>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 Issuance from/(to)</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Compensation Plan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(54,808)</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(138,310)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0" w:type="dxa"/>
            <w:vAlign w:val="bottom"/>
          </w:tcPr>
          <w:p>
            <w:pPr>
              <w:spacing w:after="0"/>
              <w:rPr>
                <w:sz w:val="1"/>
                <w:szCs w:val="1"/>
                <w:color w:val="auto"/>
              </w:rPr>
            </w:pPr>
          </w:p>
        </w:tc>
      </w:tr>
      <w:tr>
        <w:trPr>
          <w:trHeight w:val="157"/>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Reallocation of Noncontrolling</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8"/>
              </w:rPr>
              <w:t>Distributions declared ($0.15 per</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w:t>
            </w: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(26,475)</w:t>
            </w:r>
          </w:p>
        </w:tc>
        <w:tc>
          <w:tcPr>
            <w:tcW w:w="0" w:type="dxa"/>
            <w:vAlign w:val="bottom"/>
          </w:tcPr>
          <w:p>
            <w:pPr>
              <w:spacing w:after="0"/>
              <w:rPr>
                <w:sz w:val="1"/>
                <w:szCs w:val="1"/>
                <w:color w:val="auto"/>
              </w:rPr>
            </w:pPr>
          </w:p>
        </w:tc>
      </w:tr>
      <w:tr>
        <w:trPr>
          <w:trHeight w:val="195"/>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2025</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173,050,963</w:t>
            </w:r>
          </w:p>
        </w:tc>
        <w:tc>
          <w:tcPr>
            <w:tcW w:w="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1,341,572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1,728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3,193,485</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21,875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(21,875)</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756,524</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(2,958,128)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5,810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999,396</w:t>
            </w:r>
          </w:p>
        </w:tc>
        <w:tc>
          <w:tcPr>
            <w:tcW w:w="0" w:type="dxa"/>
            <w:vAlign w:val="bottom"/>
          </w:tcPr>
          <w:p>
            <w:pPr>
              <w:spacing w:after="0"/>
              <w:rPr>
                <w:sz w:val="1"/>
                <w:szCs w:val="1"/>
                <w:color w:val="auto"/>
              </w:rPr>
            </w:pPr>
          </w:p>
        </w:tc>
      </w:tr>
      <w:tr>
        <w:trPr>
          <w:trHeight w:val="20"/>
        </w:trPr>
        <w:tc>
          <w:tcPr>
            <w:tcW w:w="18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86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Net loss</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8"/>
              </w:rPr>
              <w:t>(88,669)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(88,936)</w:t>
            </w:r>
          </w:p>
        </w:tc>
        <w:tc>
          <w:tcPr>
            <w:tcW w:w="0" w:type="dxa"/>
            <w:vAlign w:val="bottom"/>
          </w:tcPr>
          <w:p>
            <w:pPr>
              <w:spacing w:after="0"/>
              <w:rPr>
                <w:sz w:val="1"/>
                <w:szCs w:val="1"/>
                <w:color w:val="auto"/>
              </w:rPr>
            </w:pPr>
          </w:p>
        </w:tc>
      </w:tr>
      <w:tr>
        <w:trPr>
          <w:trHeight w:val="194"/>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activity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726,852</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320,204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2,380</w:t>
            </w:r>
          </w:p>
        </w:tc>
        <w:tc>
          <w:tcPr>
            <w:tcW w:w="0" w:type="dxa"/>
            <w:vAlign w:val="bottom"/>
          </w:tcPr>
          <w:p>
            <w:pPr>
              <w:spacing w:after="0"/>
              <w:rPr>
                <w:sz w:val="1"/>
                <w:szCs w:val="1"/>
                <w:color w:val="auto"/>
              </w:rPr>
            </w:pPr>
          </w:p>
        </w:tc>
      </w:tr>
      <w:tr>
        <w:trPr>
          <w:trHeight w:val="157"/>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 Issuance from/(to)</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Compensation Plan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(75,638)</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65"/>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Reallocation of Noncontrolling</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8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8"/>
              </w:rPr>
              <w:t>Distributions declared ($0.15 per</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share)</w:t>
            </w: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(26,380)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(26,457)</w:t>
            </w:r>
          </w:p>
        </w:tc>
        <w:tc>
          <w:tcPr>
            <w:tcW w:w="0" w:type="dxa"/>
            <w:vAlign w:val="bottom"/>
          </w:tcPr>
          <w:p>
            <w:pPr>
              <w:spacing w:after="0"/>
              <w:rPr>
                <w:sz w:val="1"/>
                <w:szCs w:val="1"/>
                <w:color w:val="auto"/>
              </w:rPr>
            </w:pPr>
          </w:p>
        </w:tc>
      </w:tr>
      <w:tr>
        <w:trPr>
          <w:trHeight w:val="199"/>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June 30, 2025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173,702,177</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1,586,138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1,733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3,195,813</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23,069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(23,069)</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667,855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(1,118)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(2,984,508)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5,467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885,242</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8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240"/>
              <w:spacing w:after="0" w:line="145" w:lineRule="exact"/>
              <w:rPr>
                <w:sz w:val="20"/>
                <w:szCs w:val="20"/>
                <w:color w:val="auto"/>
              </w:rPr>
            </w:pPr>
            <w:r>
              <w:rPr>
                <w:rFonts w:ascii="Times New Roman" w:cs="Times New Roman" w:eastAsia="Times New Roman" w:hAnsi="Times New Roman"/>
                <w:sz w:val="13"/>
                <w:szCs w:val="13"/>
                <w:color w:val="auto"/>
                <w:w w:val="98"/>
              </w:rPr>
              <w:t>(25,919)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(25,998)</w:t>
            </w:r>
          </w:p>
        </w:tc>
        <w:tc>
          <w:tcPr>
            <w:tcW w:w="0" w:type="dxa"/>
            <w:vAlign w:val="bottom"/>
          </w:tcPr>
          <w:p>
            <w:pPr>
              <w:spacing w:after="0"/>
              <w:rPr>
                <w:sz w:val="1"/>
                <w:szCs w:val="1"/>
                <w:color w:val="auto"/>
              </w:rPr>
            </w:pPr>
          </w:p>
        </w:tc>
      </w:tr>
      <w:tr>
        <w:trPr>
          <w:trHeight w:val="208"/>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0" w:type="dxa"/>
            <w:vAlign w:val="bottom"/>
          </w:tcPr>
          <w:p>
            <w:pPr>
              <w:spacing w:after="0"/>
              <w:rPr>
                <w:sz w:val="1"/>
                <w:szCs w:val="1"/>
                <w:color w:val="auto"/>
              </w:rPr>
            </w:pPr>
          </w:p>
        </w:tc>
      </w:tr>
      <w:tr>
        <w:trPr>
          <w:trHeight w:val="121"/>
        </w:trPr>
        <w:tc>
          <w:tcPr>
            <w:tcW w:w="18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activity</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2,207</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Share Issuance from/(to)</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Compensation Plan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(3,138)</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8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Reallocation of Noncontrolling</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w w:val="98"/>
              </w:rPr>
              <w:t>Distributions declared ($0.08 per</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w:t>
            </w: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(14,069)</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(14,110)</w:t>
            </w:r>
          </w:p>
        </w:tc>
        <w:tc>
          <w:tcPr>
            <w:tcW w:w="0" w:type="dxa"/>
            <w:vAlign w:val="bottom"/>
          </w:tcPr>
          <w:p>
            <w:pPr>
              <w:spacing w:after="0"/>
              <w:rPr>
                <w:sz w:val="1"/>
                <w:szCs w:val="1"/>
                <w:color w:val="auto"/>
              </w:rPr>
            </w:pPr>
          </w:p>
        </w:tc>
      </w:tr>
      <w:tr>
        <w:trPr>
          <w:trHeight w:val="174"/>
        </w:trPr>
        <w:tc>
          <w:tcPr>
            <w:tcW w:w="1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September 30, 2025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173,699,039</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1,583,000</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1,734</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3,198,013</w:t>
            </w: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23,069</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(23,069)</w:t>
            </w: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641,936</w:t>
            </w:r>
          </w:p>
        </w:tc>
        <w:tc>
          <w:tcPr>
            <w:tcW w:w="80" w:type="dxa"/>
            <w:vAlign w:val="bottom"/>
          </w:tcPr>
          <w:p>
            <w:pPr>
              <w:spacing w:after="0"/>
              <w:rPr>
                <w:sz w:val="15"/>
                <w:szCs w:val="15"/>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(1,556)</w:t>
            </w: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(2,998,577)</w:t>
            </w:r>
          </w:p>
        </w:tc>
        <w:tc>
          <w:tcPr>
            <w:tcW w:w="8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5,352</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846,902</w:t>
            </w:r>
          </w:p>
        </w:tc>
        <w:tc>
          <w:tcPr>
            <w:tcW w:w="0" w:type="dxa"/>
            <w:vAlign w:val="bottom"/>
          </w:tcPr>
          <w:p>
            <w:pPr>
              <w:spacing w:after="0"/>
              <w:rPr>
                <w:sz w:val="1"/>
                <w:szCs w:val="1"/>
                <w:color w:val="auto"/>
              </w:rPr>
            </w:pPr>
          </w:p>
        </w:tc>
      </w:tr>
      <w:tr>
        <w:trPr>
          <w:trHeight w:val="22"/>
        </w:trPr>
        <w:tc>
          <w:tcPr>
            <w:tcW w:w="1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jc w:val="center"/>
        <w:ind w:right="-1100"/>
        <w:spacing w:after="0" w:line="232" w:lineRule="auto"/>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ind w:left="46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ectPr>
          <w:pgSz w:w="11900" w:h="16838" w:orient="portrait"/>
          <w:cols w:equalWidth="0" w:num="1">
            <w:col w:w="10139"/>
          </w:cols>
          <w:pgMar w:left="320" w:top="121"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7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(141,990)</w:t>
            </w:r>
          </w:p>
        </w:tc>
        <w:tc>
          <w:tcPr>
            <w:tcW w:w="0" w:type="dxa"/>
            <w:vAlign w:val="bottom"/>
          </w:tcPr>
          <w:p>
            <w:pPr>
              <w:spacing w:after="0"/>
              <w:rPr>
                <w:sz w:val="1"/>
                <w:szCs w:val="1"/>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131,120</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discount/(premium), net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stock compensation costs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Straight-line rent income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acquired above (below) market leases, net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Ground rent expense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gain on sale of real estate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impairment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63,369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unconsolidated real estate ventures, including income distributions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43,527</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(9,771)</w:t>
            </w:r>
          </w:p>
        </w:tc>
        <w:tc>
          <w:tcPr>
            <w:tcW w:w="0" w:type="dxa"/>
            <w:vAlign w:val="bottom"/>
          </w:tcPr>
          <w:p>
            <w:pPr>
              <w:spacing w:after="0"/>
              <w:rPr>
                <w:sz w:val="1"/>
                <w:szCs w:val="1"/>
                <w:color w:val="auto"/>
              </w:rPr>
            </w:pPr>
          </w:p>
        </w:tc>
      </w:tr>
      <w:tr>
        <w:trPr>
          <w:trHeight w:val="213"/>
        </w:trPr>
        <w:tc>
          <w:tcPr>
            <w:tcW w:w="7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income, gains and rent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84,357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88,167</w:t>
            </w:r>
          </w:p>
        </w:tc>
        <w:tc>
          <w:tcPr>
            <w:tcW w:w="0" w:type="dxa"/>
            <w:vAlign w:val="bottom"/>
          </w:tcPr>
          <w:p>
            <w:pPr>
              <w:spacing w:after="0"/>
              <w:rPr>
                <w:sz w:val="1"/>
                <w:szCs w:val="1"/>
                <w:color w:val="auto"/>
              </w:rPr>
            </w:pPr>
          </w:p>
        </w:tc>
      </w:tr>
      <w:tr>
        <w:trPr>
          <w:trHeight w:val="19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real estate investments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sale of properties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526,030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69,930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 for tenant improvements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(54,343)</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 for redevelopments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 for developments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(20,881)</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Advances for the purchase of tenant assets, net of repayments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in unconsolidated real estate ventures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(61,883)</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distributions from unconsolidated real estate ventures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Leasing costs paid</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(10,203)</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388,813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(81,072)</w:t>
            </w:r>
          </w:p>
        </w:tc>
        <w:tc>
          <w:tcPr>
            <w:tcW w:w="0" w:type="dxa"/>
            <w:vAlign w:val="bottom"/>
          </w:tcPr>
          <w:p>
            <w:pPr>
              <w:spacing w:after="0"/>
              <w:rPr>
                <w:sz w:val="1"/>
                <w:szCs w:val="1"/>
                <w:color w:val="auto"/>
              </w:rPr>
            </w:pPr>
          </w:p>
        </w:tc>
      </w:tr>
      <w:tr>
        <w:trPr>
          <w:trHeight w:val="19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credit facility borrowings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credit facility borrowings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unsecured notes</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159,000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unsecured notes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unsecured term loan</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construction loan</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10,636</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construction loan</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secured term loan</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secured term loan</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financing costs paid</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for employee taxes upon vesting of share awards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and retirement of common shares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paid to shareholders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(78,954)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(221,775)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(26,744)</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Increase/(Decrease) in cash and cash equivalents and restricted cash</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96,177</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76,528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Reconciliation of cash and cash equivalents and restricted cash:</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7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90,229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 beginning of period</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5,948</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96,177</w:t>
            </w:r>
          </w:p>
        </w:tc>
        <w:tc>
          <w:tcPr>
            <w:tcW w:w="0" w:type="dxa"/>
            <w:vAlign w:val="bottom"/>
          </w:tcPr>
          <w:p>
            <w:pPr>
              <w:spacing w:after="0"/>
              <w:rPr>
                <w:sz w:val="1"/>
                <w:szCs w:val="1"/>
                <w:color w:val="auto"/>
              </w:rPr>
            </w:pPr>
          </w:p>
        </w:tc>
      </w:tr>
      <w:tr>
        <w:trPr>
          <w:trHeight w:val="207"/>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312,743</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75,478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end of period</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313,697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76,528</w:t>
            </w:r>
          </w:p>
        </w:tc>
        <w:tc>
          <w:tcPr>
            <w:tcW w:w="0" w:type="dxa"/>
            <w:vAlign w:val="bottom"/>
          </w:tcPr>
          <w:p>
            <w:pPr>
              <w:spacing w:after="0"/>
              <w:rPr>
                <w:sz w:val="1"/>
                <w:szCs w:val="1"/>
                <w:color w:val="auto"/>
              </w:rPr>
            </w:pPr>
          </w:p>
        </w:tc>
      </w:tr>
      <w:tr>
        <w:trPr>
          <w:trHeight w:val="199"/>
        </w:trPr>
        <w:tc>
          <w:tcPr>
            <w:tcW w:w="7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Cash paid for interest, net of capitalized interest during the nine months ended September 30, 2026 and 2025 of $1,972</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117,112</w:t>
            </w: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82,251</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$9,801, respectively</w:t>
            </w:r>
          </w:p>
        </w:tc>
        <w:tc>
          <w:tcPr>
            <w:tcW w:w="2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activity:</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and distributions declared but not paid</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Extinguishment of debt costs accrued in financing activities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capital expenditures financed through accounts payable at period end</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capital expenditures financed through retention payable at period end</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164" w:right="339" w:bottom="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64" w:right="339" w:bottom="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unit and per unit information)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Real estate investments: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properties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3,300,851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3,753,780</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(1,263,796)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(1,259,090)</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ground leases, net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51,399</w:t>
            </w:r>
          </w:p>
        </w:tc>
        <w:tc>
          <w:tcPr>
            <w:tcW w:w="0" w:type="dxa"/>
            <w:vAlign w:val="bottom"/>
          </w:tcPr>
          <w:p>
            <w:pPr>
              <w:spacing w:after="0"/>
              <w:rPr>
                <w:sz w:val="1"/>
                <w:szCs w:val="1"/>
                <w:color w:val="auto"/>
              </w:rPr>
            </w:pPr>
          </w:p>
        </w:tc>
      </w:tr>
      <w:tr>
        <w:trPr>
          <w:trHeight w:val="196"/>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Right of use asset - operating leases, net</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17,806</w:t>
            </w: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real estate investments, net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2,056,144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2,563,895</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Construction-in-progress</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118,543</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Land held for development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70,405</w:t>
            </w:r>
          </w:p>
        </w:tc>
        <w:tc>
          <w:tcPr>
            <w:tcW w:w="0" w:type="dxa"/>
            <w:vAlign w:val="bottom"/>
          </w:tcPr>
          <w:p>
            <w:pPr>
              <w:spacing w:after="0"/>
              <w:rPr>
                <w:sz w:val="1"/>
                <w:szCs w:val="1"/>
                <w:color w:val="auto"/>
              </w:rPr>
            </w:pPr>
          </w:p>
        </w:tc>
      </w:tr>
      <w:tr>
        <w:trPr>
          <w:trHeight w:val="196"/>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Prepaid leasehold interests in land held for development, net</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27,762</w:t>
            </w: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real estate investments, net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2,246,827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2,780,605</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312,743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32,284</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Restricted cash and escrows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30,018</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22,154</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rent receivable, net of allowance of $369 and $424 as of September 30, 2026 and December 31, 2025, respectively</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182,651</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 unconsolidated real estate ventures</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314,326</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costs, net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79,549</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22,426</w:t>
            </w: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143,186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122,227</w:t>
            </w:r>
          </w:p>
        </w:tc>
        <w:tc>
          <w:tcPr>
            <w:tcW w:w="0" w:type="dxa"/>
            <w:vAlign w:val="bottom"/>
          </w:tcPr>
          <w:p>
            <w:pPr>
              <w:spacing w:after="0"/>
              <w:rPr>
                <w:sz w:val="1"/>
                <w:szCs w:val="1"/>
                <w:color w:val="auto"/>
              </w:rPr>
            </w:pPr>
          </w:p>
        </w:tc>
      </w:tr>
      <w:tr>
        <w:trPr>
          <w:trHeight w:val="203"/>
        </w:trPr>
        <w:tc>
          <w:tcPr>
            <w:tcW w:w="8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3,276,711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3,586,240</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PARTNERS' EQUITY</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Secured term loans, net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88,009</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234,079</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Unsecured credit facility</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Unsecured term loans, net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249,389</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Unsecured senior notes, net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1,934,858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2,073,394</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143,826</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Distributions payable</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14,108</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gains and rent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22,569</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Intangible liabilities, net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12,713</w:t>
            </w:r>
          </w:p>
        </w:tc>
        <w:tc>
          <w:tcPr>
            <w:tcW w:w="0" w:type="dxa"/>
            <w:vAlign w:val="bottom"/>
          </w:tcPr>
          <w:p>
            <w:pPr>
              <w:spacing w:after="0"/>
              <w:rPr>
                <w:sz w:val="1"/>
                <w:szCs w:val="1"/>
                <w:color w:val="auto"/>
              </w:rPr>
            </w:pPr>
          </w:p>
        </w:tc>
      </w:tr>
      <w:tr>
        <w:trPr>
          <w:trHeight w:val="195"/>
        </w:trPr>
        <w:tc>
          <w:tcPr>
            <w:tcW w:w="8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Lease liability - operating leases</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23,720</w:t>
            </w: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14,588</w:t>
            </w:r>
          </w:p>
        </w:tc>
        <w:tc>
          <w:tcPr>
            <w:tcW w:w="0" w:type="dxa"/>
            <w:vAlign w:val="bottom"/>
          </w:tcPr>
          <w:p>
            <w:pPr>
              <w:spacing w:after="0"/>
              <w:rPr>
                <w:sz w:val="1"/>
                <w:szCs w:val="1"/>
                <w:color w:val="auto"/>
              </w:rPr>
            </w:pPr>
          </w:p>
        </w:tc>
      </w:tr>
      <w:tr>
        <w:trPr>
          <w:trHeight w:val="203"/>
        </w:trPr>
        <w:tc>
          <w:tcPr>
            <w:tcW w:w="8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2,625,574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2,788,386</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Commitments and contingencies (See Note 14)</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4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Redeemable limited partnership units at redemption value; 515,595 and 515,595 issued and outstanding as of September 30, 2026 and</w:t>
            </w: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195"/>
        </w:trPr>
        <w:tc>
          <w:tcPr>
            <w:tcW w:w="8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December 31, 2025, respectively</w:t>
            </w: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Brandywine Operating Partnership, L.P.'s equity:</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4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General Partnership Capital; 170,026,338 and 173,699,039 units issued and outstanding as of September 30, 2026 and December 31, 2025,</w:t>
            </w: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642,135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795,402</w:t>
            </w:r>
          </w:p>
        </w:tc>
        <w:tc>
          <w:tcPr>
            <w:tcW w:w="0" w:type="dxa"/>
            <w:vAlign w:val="bottom"/>
          </w:tcPr>
          <w:p>
            <w:pPr>
              <w:spacing w:after="0"/>
              <w:rPr>
                <w:sz w:val="1"/>
                <w:szCs w:val="1"/>
                <w:color w:val="auto"/>
              </w:rPr>
            </w:pPr>
          </w:p>
        </w:tc>
      </w:tr>
      <w:tr>
        <w:trPr>
          <w:trHeight w:val="195"/>
        </w:trPr>
        <w:tc>
          <w:tcPr>
            <w:tcW w:w="8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0" w:type="dxa"/>
            <w:vAlign w:val="bottom"/>
          </w:tcPr>
          <w:p>
            <w:pPr>
              <w:spacing w:after="0"/>
              <w:rPr>
                <w:sz w:val="1"/>
                <w:szCs w:val="1"/>
                <w:color w:val="auto"/>
              </w:rPr>
            </w:pPr>
          </w:p>
        </w:tc>
      </w:tr>
      <w:tr>
        <w:trPr>
          <w:trHeight w:val="190"/>
        </w:trPr>
        <w:tc>
          <w:tcPr>
            <w:tcW w:w="8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Total Brandywine Operating Partnership, L.P.'s equity</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647,074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793,621</w:t>
            </w:r>
          </w:p>
        </w:tc>
        <w:tc>
          <w:tcPr>
            <w:tcW w:w="0" w:type="dxa"/>
            <w:vAlign w:val="bottom"/>
          </w:tcPr>
          <w:p>
            <w:pPr>
              <w:spacing w:after="0"/>
              <w:rPr>
                <w:sz w:val="1"/>
                <w:szCs w:val="1"/>
                <w:color w:val="auto"/>
              </w:rPr>
            </w:pPr>
          </w:p>
        </w:tc>
      </w:tr>
      <w:tr>
        <w:trPr>
          <w:trHeight w:val="20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 - consolidated real estate ventures</w:t>
            </w: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0" w:type="dxa"/>
            <w:vAlign w:val="bottom"/>
          </w:tcPr>
          <w:p>
            <w:pPr>
              <w:spacing w:after="0"/>
              <w:rPr>
                <w:sz w:val="1"/>
                <w:szCs w:val="1"/>
                <w:color w:val="auto"/>
              </w:rPr>
            </w:pPr>
          </w:p>
        </w:tc>
      </w:tr>
      <w:tr>
        <w:trPr>
          <w:trHeight w:val="190"/>
        </w:trPr>
        <w:tc>
          <w:tcPr>
            <w:tcW w:w="8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Total partners' equity</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649,674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796,353</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liabilities and partners' equity</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3,276,711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3,586,240</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unit and per unit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60" w:type="dxa"/>
            <w:vAlign w:val="bottom"/>
            <w:gridSpan w:val="4"/>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54"/>
        </w:trPr>
        <w:tc>
          <w:tcPr>
            <w:tcW w:w="53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Revenue</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Rents</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118,661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114,742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362,016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343,366</w:t>
            </w:r>
          </w:p>
        </w:tc>
        <w:tc>
          <w:tcPr>
            <w:tcW w:w="0" w:type="dxa"/>
            <w:vAlign w:val="bottom"/>
          </w:tcPr>
          <w:p>
            <w:pPr>
              <w:spacing w:after="0"/>
              <w:rPr>
                <w:sz w:val="1"/>
                <w:szCs w:val="1"/>
                <w:color w:val="auto"/>
              </w:rPr>
            </w:pPr>
          </w:p>
        </w:tc>
      </w:tr>
      <w:tr>
        <w:trPr>
          <w:trHeight w:val="170"/>
        </w:trPr>
        <w:tc>
          <w:tcPr>
            <w:tcW w:w="5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Third party management fees, labor reimbursement and leasing</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12,763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15,242</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3,002</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2,135</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4,896</w:t>
            </w:r>
          </w:p>
        </w:tc>
        <w:tc>
          <w:tcPr>
            <w:tcW w:w="0" w:type="dxa"/>
            <w:vAlign w:val="bottom"/>
          </w:tcPr>
          <w:p>
            <w:pPr>
              <w:spacing w:after="0"/>
              <w:rPr>
                <w:sz w:val="1"/>
                <w:szCs w:val="1"/>
                <w:color w:val="auto"/>
              </w:rPr>
            </w:pPr>
          </w:p>
        </w:tc>
      </w:tr>
      <w:tr>
        <w:trPr>
          <w:trHeight w:val="163"/>
        </w:trPr>
        <w:tc>
          <w:tcPr>
            <w:tcW w:w="5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revenue</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125,638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381,562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363,504</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Property operating expenses</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39,232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31,412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96,303</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Real estate taxes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11,647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33,988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34,586</w:t>
            </w:r>
          </w:p>
        </w:tc>
        <w:tc>
          <w:tcPr>
            <w:tcW w:w="0" w:type="dxa"/>
            <w:vAlign w:val="bottom"/>
          </w:tcPr>
          <w:p>
            <w:pPr>
              <w:spacing w:after="0"/>
              <w:rPr>
                <w:sz w:val="1"/>
                <w:szCs w:val="1"/>
                <w:color w:val="auto"/>
              </w:rPr>
            </w:pPr>
          </w:p>
        </w:tc>
      </w:tr>
      <w:tr>
        <w:trPr>
          <w:trHeight w:val="170"/>
        </w:trPr>
        <w:tc>
          <w:tcPr>
            <w:tcW w:w="5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Third party management expenses</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7,467</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45,088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43,005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131,120</w:t>
            </w:r>
          </w:p>
        </w:tc>
        <w:tc>
          <w:tcPr>
            <w:tcW w:w="0" w:type="dxa"/>
            <w:vAlign w:val="bottom"/>
          </w:tcPr>
          <w:p>
            <w:pPr>
              <w:spacing w:after="0"/>
              <w:rPr>
                <w:sz w:val="1"/>
                <w:szCs w:val="1"/>
                <w:color w:val="auto"/>
              </w:rPr>
            </w:pPr>
          </w:p>
        </w:tc>
      </w:tr>
      <w:tr>
        <w:trPr>
          <w:trHeight w:val="170"/>
        </w:trPr>
        <w:tc>
          <w:tcPr>
            <w:tcW w:w="5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34,636</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Provision for impairment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29,057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63,369</w:t>
            </w:r>
          </w:p>
        </w:tc>
        <w:tc>
          <w:tcPr>
            <w:tcW w:w="0" w:type="dxa"/>
            <w:vAlign w:val="bottom"/>
          </w:tcPr>
          <w:p>
            <w:pPr>
              <w:spacing w:after="0"/>
              <w:rPr>
                <w:sz w:val="1"/>
                <w:szCs w:val="1"/>
                <w:color w:val="auto"/>
              </w:rPr>
            </w:pPr>
          </w:p>
        </w:tc>
      </w:tr>
      <w:tr>
        <w:trPr>
          <w:trHeight w:val="163"/>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134,197</w:t>
            </w:r>
          </w:p>
        </w:tc>
        <w:tc>
          <w:tcPr>
            <w:tcW w:w="12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96,255</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369,217</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367,481</w:t>
            </w:r>
          </w:p>
        </w:tc>
        <w:tc>
          <w:tcPr>
            <w:tcW w:w="0" w:type="dxa"/>
            <w:vAlign w:val="bottom"/>
          </w:tcPr>
          <w:p>
            <w:pPr>
              <w:spacing w:after="0"/>
              <w:rPr>
                <w:sz w:val="1"/>
                <w:szCs w:val="1"/>
                <w:color w:val="auto"/>
              </w:rPr>
            </w:pPr>
          </w:p>
        </w:tc>
      </w:tr>
      <w:tr>
        <w:trPr>
          <w:trHeight w:val="16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Gain on sale of real estate</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Net gain on disposition of real estate</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55,689</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55,752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3,008</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gain on sale of real estate</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55,689</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55,752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3,008</w:t>
            </w:r>
          </w:p>
        </w:tc>
        <w:tc>
          <w:tcPr>
            <w:tcW w:w="0" w:type="dxa"/>
            <w:vAlign w:val="bottom"/>
          </w:tcPr>
          <w:p>
            <w:pPr>
              <w:spacing w:after="0"/>
              <w:rPr>
                <w:sz w:val="1"/>
                <w:szCs w:val="1"/>
                <w:color w:val="auto"/>
              </w:rPr>
            </w:pPr>
          </w:p>
        </w:tc>
      </w:tr>
      <w:tr>
        <w:trPr>
          <w:trHeight w:val="163"/>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 (loss)</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68,097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and investment income</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3,274</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(39,035)</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(32,914)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(97,104)</w:t>
            </w:r>
          </w:p>
        </w:tc>
        <w:tc>
          <w:tcPr>
            <w:tcW w:w="0" w:type="dxa"/>
            <w:vAlign w:val="bottom"/>
          </w:tcPr>
          <w:p>
            <w:pPr>
              <w:spacing w:after="0"/>
              <w:rPr>
                <w:sz w:val="1"/>
                <w:szCs w:val="1"/>
                <w:color w:val="auto"/>
              </w:rPr>
            </w:pPr>
          </w:p>
        </w:tc>
      </w:tr>
      <w:tr>
        <w:trPr>
          <w:trHeight w:val="170"/>
        </w:trPr>
        <w:tc>
          <w:tcPr>
            <w:tcW w:w="5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 amortization of deferred financing costs</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(3,763)</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 loss of unconsolidated real estate ventures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(18,183)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(43,526)</w:t>
            </w:r>
          </w:p>
        </w:tc>
        <w:tc>
          <w:tcPr>
            <w:tcW w:w="0" w:type="dxa"/>
            <w:vAlign w:val="bottom"/>
          </w:tcPr>
          <w:p>
            <w:pPr>
              <w:spacing w:after="0"/>
              <w:rPr>
                <w:sz w:val="1"/>
                <w:szCs w:val="1"/>
                <w:color w:val="auto"/>
              </w:rPr>
            </w:pPr>
          </w:p>
        </w:tc>
      </w:tr>
      <w:tr>
        <w:trPr>
          <w:trHeight w:val="170"/>
        </w:trPr>
        <w:tc>
          <w:tcPr>
            <w:tcW w:w="5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gain on real estate venture transactions</w:t>
            </w:r>
          </w:p>
        </w:tc>
        <w:tc>
          <w:tcPr>
            <w:tcW w:w="22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early extinguishment of debt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before income taxes</w:t>
            </w: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(22,099)</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(25,998)</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(102,414)</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(141,905)</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 provision</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63"/>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(22,142)</w:t>
            </w: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(25,998)</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(102,481)</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(141,990)</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interests - consolidated real estate ventures</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53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Net loss attributable to Brandywine Operating Partnership, L.P.</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(22,107)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(25,997)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(141,989)</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Nonforfeitable dividends allocated to unvested restricted unitholders</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0" w:type="dxa"/>
            <w:vAlign w:val="bottom"/>
          </w:tcPr>
          <w:p>
            <w:pPr>
              <w:spacing w:after="0"/>
              <w:rPr>
                <w:sz w:val="1"/>
                <w:szCs w:val="1"/>
                <w:color w:val="auto"/>
              </w:rPr>
            </w:pPr>
          </w:p>
        </w:tc>
      </w:tr>
      <w:tr>
        <w:trPr>
          <w:trHeight w:val="102"/>
        </w:trPr>
        <w:tc>
          <w:tcPr>
            <w:tcW w:w="536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Net loss attributable to Common Partnership Unitholders of Brandywine Operating Partnership,</w:t>
            </w:r>
          </w:p>
        </w:tc>
        <w:tc>
          <w:tcPr>
            <w:tcW w:w="2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(22,335)</w:t>
            </w:r>
          </w:p>
        </w:tc>
        <w:tc>
          <w:tcPr>
            <w:tcW w:w="120" w:type="dxa"/>
            <w:vAlign w:val="bottom"/>
          </w:tcPr>
          <w:p>
            <w:pPr>
              <w:spacing w:after="0"/>
              <w:rPr>
                <w:sz w:val="8"/>
                <w:szCs w:val="8"/>
                <w:color w:val="auto"/>
              </w:rPr>
            </w:pPr>
          </w:p>
        </w:tc>
        <w:tc>
          <w:tcPr>
            <w:tcW w:w="3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(26,310)</w:t>
            </w:r>
          </w:p>
        </w:tc>
        <w:tc>
          <w:tcPr>
            <w:tcW w:w="120" w:type="dxa"/>
            <w:vAlign w:val="bottom"/>
          </w:tcPr>
          <w:p>
            <w:pPr>
              <w:spacing w:after="0"/>
              <w:rPr>
                <w:sz w:val="8"/>
                <w:szCs w:val="8"/>
                <w:color w:val="auto"/>
              </w:rPr>
            </w:pPr>
          </w:p>
        </w:tc>
        <w:tc>
          <w:tcPr>
            <w:tcW w:w="2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(103,143)</w:t>
            </w:r>
          </w:p>
        </w:tc>
        <w:tc>
          <w:tcPr>
            <w:tcW w:w="100" w:type="dxa"/>
            <w:vAlign w:val="bottom"/>
          </w:tcPr>
          <w:p>
            <w:pPr>
              <w:spacing w:after="0"/>
              <w:rPr>
                <w:sz w:val="8"/>
                <w:szCs w:val="8"/>
                <w:color w:val="auto"/>
              </w:rPr>
            </w:pPr>
          </w:p>
        </w:tc>
        <w:tc>
          <w:tcPr>
            <w:tcW w:w="34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(143,053)</w:t>
            </w:r>
          </w:p>
        </w:tc>
        <w:tc>
          <w:tcPr>
            <w:tcW w:w="0" w:type="dxa"/>
            <w:vAlign w:val="bottom"/>
          </w:tcPr>
          <w:p>
            <w:pPr>
              <w:spacing w:after="0"/>
              <w:rPr>
                <w:sz w:val="1"/>
                <w:szCs w:val="1"/>
                <w:color w:val="auto"/>
              </w:rPr>
            </w:pPr>
          </w:p>
        </w:tc>
      </w:tr>
      <w:tr>
        <w:trPr>
          <w:trHeight w:val="167"/>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L.P.</w:t>
            </w:r>
          </w:p>
        </w:tc>
        <w:tc>
          <w:tcPr>
            <w:tcW w:w="22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loss per Common Partnership Unit</w:t>
            </w: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(0.82)</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loss per Common Partnership Unit</w:t>
            </w: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(0.82)</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weighted average common partnership units outstanding</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172,525,823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174,214,907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173,893,052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173,900,925</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weighted average common partnership units outstanding</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172,525,823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174,214,907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173,893,052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173,900,925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6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(141,990)</w:t>
            </w:r>
          </w:p>
        </w:tc>
        <w:tc>
          <w:tcPr>
            <w:tcW w:w="0" w:type="dxa"/>
            <w:vAlign w:val="bottom"/>
          </w:tcPr>
          <w:p>
            <w:pPr>
              <w:spacing w:after="0"/>
              <w:rPr>
                <w:sz w:val="1"/>
                <w:szCs w:val="1"/>
                <w:color w:val="auto"/>
              </w:rPr>
            </w:pPr>
          </w:p>
        </w:tc>
      </w:tr>
      <w:tr>
        <w:trPr>
          <w:trHeight w:val="195"/>
        </w:trPr>
        <w:tc>
          <w:tcPr>
            <w:tcW w:w="5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(loss) on derivative financial instruments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0" w:type="dxa"/>
            <w:vAlign w:val="bottom"/>
          </w:tcPr>
          <w:p>
            <w:pPr>
              <w:spacing w:after="0"/>
              <w:rPr>
                <w:sz w:val="1"/>
                <w:szCs w:val="1"/>
                <w:color w:val="auto"/>
              </w:rPr>
            </w:pPr>
          </w:p>
        </w:tc>
      </w:tr>
      <w:tr>
        <w:trPr>
          <w:trHeight w:val="189"/>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(146,080)</w:t>
            </w:r>
          </w:p>
        </w:tc>
        <w:tc>
          <w:tcPr>
            <w:tcW w:w="0" w:type="dxa"/>
            <w:vAlign w:val="bottom"/>
          </w:tcPr>
          <w:p>
            <w:pPr>
              <w:spacing w:after="0"/>
              <w:rPr>
                <w:sz w:val="1"/>
                <w:szCs w:val="1"/>
                <w:color w:val="auto"/>
              </w:rPr>
            </w:pPr>
          </w:p>
        </w:tc>
      </w:tr>
      <w:tr>
        <w:trPr>
          <w:trHeight w:val="135"/>
        </w:trPr>
        <w:tc>
          <w:tcPr>
            <w:tcW w:w="538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Comprehensive loss attributable to noncontrolling interest - consolidated real estate</w:t>
            </w:r>
          </w:p>
        </w:tc>
        <w:tc>
          <w:tcPr>
            <w:tcW w:w="2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12"/>
        </w:trPr>
        <w:tc>
          <w:tcPr>
            <w:tcW w:w="53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ventures</w:t>
            </w: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5380" w:type="dxa"/>
            <w:vAlign w:val="bottom"/>
            <w:tcBorders>
              <w:bottom w:val="single" w:sz="8" w:color="CCEEFF"/>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Brandywine Operating Partnership, L.P.</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(95,629)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(146,079)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units)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4860" w:type="dxa"/>
            <w:vAlign w:val="bottom"/>
          </w:tcPr>
          <w:p>
            <w:pPr>
              <w:spacing w:after="0"/>
              <w:rPr>
                <w:sz w:val="12"/>
                <w:szCs w:val="12"/>
                <w:color w:val="auto"/>
              </w:rPr>
            </w:pPr>
          </w:p>
        </w:tc>
        <w:tc>
          <w:tcPr>
            <w:tcW w:w="2540" w:type="dxa"/>
            <w:vAlign w:val="bottom"/>
            <w:gridSpan w:val="5"/>
          </w:tcPr>
          <w:p>
            <w:pPr>
              <w:ind w:left="640"/>
              <w:spacing w:after="0"/>
              <w:rPr>
                <w:sz w:val="20"/>
                <w:szCs w:val="20"/>
                <w:color w:val="auto"/>
              </w:rPr>
            </w:pPr>
            <w:r>
              <w:rPr>
                <w:rFonts w:ascii="Times New Roman" w:cs="Times New Roman" w:eastAsia="Times New Roman" w:hAnsi="Times New Roman"/>
                <w:sz w:val="11"/>
                <w:szCs w:val="11"/>
                <w:b w:val="1"/>
                <w:bCs w:val="1"/>
                <w:color w:val="auto"/>
              </w:rPr>
              <w:t>General Partner Capital</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Noncontrolling Interest -</w:t>
            </w: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4860" w:type="dxa"/>
            <w:vAlign w:val="bottom"/>
          </w:tcPr>
          <w:p>
            <w:pPr>
              <w:spacing w:after="0"/>
              <w:rPr>
                <w:sz w:val="7"/>
                <w:szCs w:val="7"/>
                <w:color w:val="auto"/>
              </w:rPr>
            </w:pPr>
          </w:p>
        </w:tc>
        <w:tc>
          <w:tcPr>
            <w:tcW w:w="12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20" w:type="dxa"/>
            <w:vAlign w:val="bottom"/>
          </w:tcPr>
          <w:p>
            <w:pPr>
              <w:spacing w:after="0"/>
              <w:rPr>
                <w:sz w:val="7"/>
                <w:szCs w:val="7"/>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7"/>
                <w:szCs w:val="7"/>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130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Consolidated Real</w:t>
            </w:r>
          </w:p>
        </w:tc>
        <w:tc>
          <w:tcPr>
            <w:tcW w:w="118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Total Partners' Equity</w:t>
            </w: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Comprehensive Income</w:t>
            </w: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Estate Ventures</w:t>
            </w: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173,699,039</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795,402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color w:val="auto"/>
              </w:rPr>
              <w:t>2,732</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796,353</w:t>
            </w:r>
          </w:p>
        </w:tc>
        <w:tc>
          <w:tcPr>
            <w:tcW w:w="0" w:type="dxa"/>
            <w:vAlign w:val="bottom"/>
          </w:tcPr>
          <w:p>
            <w:pPr>
              <w:spacing w:after="0"/>
              <w:rPr>
                <w:sz w:val="1"/>
                <w:szCs w:val="1"/>
                <w:color w:val="auto"/>
              </w:rPr>
            </w:pPr>
          </w:p>
        </w:tc>
      </w:tr>
      <w:tr>
        <w:trPr>
          <w:trHeight w:val="170"/>
        </w:trPr>
        <w:tc>
          <w:tcPr>
            <w:tcW w:w="4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(48,804)</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1,567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w:t>
            </w:r>
          </w:p>
        </w:tc>
        <w:tc>
          <w:tcPr>
            <w:tcW w:w="0" w:type="dxa"/>
            <w:vAlign w:val="bottom"/>
          </w:tcPr>
          <w:p>
            <w:pPr>
              <w:spacing w:after="0"/>
              <w:rPr>
                <w:sz w:val="1"/>
                <w:szCs w:val="1"/>
                <w:color w:val="auto"/>
              </w:rPr>
            </w:pPr>
          </w:p>
        </w:tc>
      </w:tr>
      <w:tr>
        <w:trPr>
          <w:trHeight w:val="170"/>
        </w:trPr>
        <w:tc>
          <w:tcPr>
            <w:tcW w:w="4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compensation obligation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Repurchase and retirement of LP units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0" w:type="dxa"/>
            <w:vAlign w:val="bottom"/>
          </w:tcPr>
          <w:p>
            <w:pPr>
              <w:spacing w:after="0"/>
              <w:rPr>
                <w:sz w:val="1"/>
                <w:szCs w:val="1"/>
                <w:color w:val="auto"/>
              </w:rPr>
            </w:pPr>
          </w:p>
        </w:tc>
      </w:tr>
      <w:tr>
        <w:trPr>
          <w:trHeight w:val="170"/>
        </w:trPr>
        <w:tc>
          <w:tcPr>
            <w:tcW w:w="4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Share-based compensation activity</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724,931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5,400</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 of redeemable partnership units to liquidation value at period end</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170"/>
        </w:trPr>
        <w:tc>
          <w:tcPr>
            <w:tcW w:w="4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Distributions declared to general partnership unitholders ($0.08 per unit)</w:t>
            </w: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(14,215)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(14,215)</w:t>
            </w:r>
          </w:p>
        </w:tc>
        <w:tc>
          <w:tcPr>
            <w:tcW w:w="0" w:type="dxa"/>
            <w:vAlign w:val="bottom"/>
          </w:tcPr>
          <w:p>
            <w:pPr>
              <w:spacing w:after="0"/>
              <w:rPr>
                <w:sz w:val="1"/>
                <w:szCs w:val="1"/>
                <w:color w:val="auto"/>
              </w:rPr>
            </w:pPr>
          </w:p>
        </w:tc>
      </w:tr>
      <w:tr>
        <w:trPr>
          <w:trHeight w:val="195"/>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March 31, 2026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173,711,845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735,395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2,665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737,846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8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(31,535)</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0" w:type="dxa"/>
            <w:vAlign w:val="bottom"/>
          </w:tcPr>
          <w:p>
            <w:pPr>
              <w:spacing w:after="0"/>
              <w:rPr>
                <w:sz w:val="1"/>
                <w:szCs w:val="1"/>
                <w:color w:val="auto"/>
              </w:rPr>
            </w:pPr>
          </w:p>
        </w:tc>
      </w:tr>
      <w:tr>
        <w:trPr>
          <w:trHeight w:val="170"/>
        </w:trPr>
        <w:tc>
          <w:tcPr>
            <w:tcW w:w="4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Share-based compensation activity</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900,011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2,067</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 of redeemable partnership units to liquidation value at period end</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0" w:type="dxa"/>
            <w:vAlign w:val="bottom"/>
          </w:tcPr>
          <w:p>
            <w:pPr>
              <w:spacing w:after="0"/>
              <w:rPr>
                <w:sz w:val="1"/>
                <w:szCs w:val="1"/>
                <w:color w:val="auto"/>
              </w:rPr>
            </w:pPr>
          </w:p>
        </w:tc>
      </w:tr>
      <w:tr>
        <w:trPr>
          <w:trHeight w:val="170"/>
        </w:trPr>
        <w:tc>
          <w:tcPr>
            <w:tcW w:w="4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Distributions declared to general partnership unitholders ($0.08 per unit)</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(14,216)</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Distributions to Noncontrolling interest holder</w:t>
            </w:r>
          </w:p>
        </w:tc>
        <w:tc>
          <w:tcPr>
            <w:tcW w:w="11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4"/>
        </w:trPr>
        <w:tc>
          <w:tcPr>
            <w:tcW w:w="4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June 30, 2026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174,611,856</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691,384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235</w:t>
            </w:r>
          </w:p>
        </w:tc>
        <w:tc>
          <w:tcPr>
            <w:tcW w:w="10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2,635</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694,254</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6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Net loss</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(22,142)</w:t>
            </w:r>
          </w:p>
        </w:tc>
        <w:tc>
          <w:tcPr>
            <w:tcW w:w="0" w:type="dxa"/>
            <w:vAlign w:val="bottom"/>
          </w:tcPr>
          <w:p>
            <w:pPr>
              <w:spacing w:after="0"/>
              <w:rPr>
                <w:sz w:val="1"/>
                <w:szCs w:val="1"/>
                <w:color w:val="auto"/>
              </w:rPr>
            </w:pPr>
          </w:p>
        </w:tc>
      </w:tr>
      <w:tr>
        <w:trPr>
          <w:trHeight w:val="170"/>
        </w:trPr>
        <w:tc>
          <w:tcPr>
            <w:tcW w:w="4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4,704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4,704</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compensation obligation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(34,962)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70"/>
        </w:trPr>
        <w:tc>
          <w:tcPr>
            <w:tcW w:w="4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 and retirement of LP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(4,666,266)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(14,896)</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Share-based compensation activity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115,710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w:t>
            </w:r>
          </w:p>
        </w:tc>
        <w:tc>
          <w:tcPr>
            <w:tcW w:w="0" w:type="dxa"/>
            <w:vAlign w:val="bottom"/>
          </w:tcPr>
          <w:p>
            <w:pPr>
              <w:spacing w:after="0"/>
              <w:rPr>
                <w:sz w:val="1"/>
                <w:szCs w:val="1"/>
                <w:color w:val="auto"/>
              </w:rPr>
            </w:pPr>
          </w:p>
        </w:tc>
      </w:tr>
      <w:tr>
        <w:trPr>
          <w:trHeight w:val="170"/>
        </w:trPr>
        <w:tc>
          <w:tcPr>
            <w:tcW w:w="4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Adjustment of redeemable partnership units to liquidation value at period end</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Distributions declared to general partnership unitholders ($0.08 per unit)</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(13,830)</w:t>
            </w:r>
          </w:p>
        </w:tc>
        <w:tc>
          <w:tcPr>
            <w:tcW w:w="0" w:type="dxa"/>
            <w:vAlign w:val="bottom"/>
          </w:tcPr>
          <w:p>
            <w:pPr>
              <w:spacing w:after="0"/>
              <w:rPr>
                <w:sz w:val="1"/>
                <w:szCs w:val="1"/>
                <w:color w:val="auto"/>
              </w:rPr>
            </w:pPr>
          </w:p>
        </w:tc>
      </w:tr>
      <w:tr>
        <w:trPr>
          <w:trHeight w:val="170"/>
        </w:trPr>
        <w:tc>
          <w:tcPr>
            <w:tcW w:w="4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Distributions to Noncontrolling interest holder</w:t>
            </w: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95"/>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September 30, 2026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170,026,338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642,135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4,939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2,600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649,674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PARTNERS’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units)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4880" w:type="dxa"/>
            <w:vAlign w:val="bottom"/>
          </w:tcPr>
          <w:p>
            <w:pPr>
              <w:spacing w:after="0"/>
              <w:rPr>
                <w:sz w:val="12"/>
                <w:szCs w:val="12"/>
                <w:color w:val="auto"/>
              </w:rPr>
            </w:pPr>
          </w:p>
        </w:tc>
        <w:tc>
          <w:tcPr>
            <w:tcW w:w="254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General Partner Capital</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Noncontrolling Interest -</w:t>
            </w: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4880" w:type="dxa"/>
            <w:vAlign w:val="bottom"/>
          </w:tcPr>
          <w:p>
            <w:pPr>
              <w:spacing w:after="0"/>
              <w:rPr>
                <w:sz w:val="7"/>
                <w:szCs w:val="7"/>
                <w:color w:val="auto"/>
              </w:rPr>
            </w:pPr>
          </w:p>
        </w:tc>
        <w:tc>
          <w:tcPr>
            <w:tcW w:w="12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40" w:type="dxa"/>
            <w:vAlign w:val="bottom"/>
          </w:tcPr>
          <w:p>
            <w:pPr>
              <w:spacing w:after="0"/>
              <w:rPr>
                <w:sz w:val="7"/>
                <w:szCs w:val="7"/>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8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30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Comprehensive Income</w:t>
            </w:r>
          </w:p>
        </w:tc>
        <w:tc>
          <w:tcPr>
            <w:tcW w:w="120" w:type="dxa"/>
            <w:vAlign w:val="bottom"/>
          </w:tcPr>
          <w:p>
            <w:pPr>
              <w:spacing w:after="0"/>
              <w:rPr>
                <w:sz w:val="9"/>
                <w:szCs w:val="9"/>
                <w:color w:val="auto"/>
              </w:rPr>
            </w:pPr>
          </w:p>
        </w:tc>
        <w:tc>
          <w:tcPr>
            <w:tcW w:w="11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Consolidated Real</w:t>
            </w:r>
          </w:p>
        </w:tc>
        <w:tc>
          <w:tcPr>
            <w:tcW w:w="118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Total Partners' Equity</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Estate Ventures</w:t>
            </w: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172,665,995</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1,036,712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2,815</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1,041,717</w:t>
            </w:r>
          </w:p>
        </w:tc>
        <w:tc>
          <w:tcPr>
            <w:tcW w:w="0" w:type="dxa"/>
            <w:vAlign w:val="bottom"/>
          </w:tcPr>
          <w:p>
            <w:pPr>
              <w:spacing w:after="0"/>
              <w:rPr>
                <w:sz w:val="1"/>
                <w:szCs w:val="1"/>
                <w:color w:val="auto"/>
              </w:rPr>
            </w:pPr>
          </w:p>
        </w:tc>
      </w:tr>
      <w:tr>
        <w:trPr>
          <w:trHeight w:val="170"/>
        </w:trPr>
        <w:tc>
          <w:tcPr>
            <w:tcW w:w="4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(27,056)</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w:t>
            </w:r>
          </w:p>
        </w:tc>
        <w:tc>
          <w:tcPr>
            <w:tcW w:w="0" w:type="dxa"/>
            <w:vAlign w:val="bottom"/>
          </w:tcPr>
          <w:p>
            <w:pPr>
              <w:spacing w:after="0"/>
              <w:rPr>
                <w:sz w:val="1"/>
                <w:szCs w:val="1"/>
                <w:color w:val="auto"/>
              </w:rPr>
            </w:pPr>
          </w:p>
        </w:tc>
      </w:tr>
      <w:tr>
        <w:trPr>
          <w:trHeight w:val="170"/>
        </w:trPr>
        <w:tc>
          <w:tcPr>
            <w:tcW w:w="4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compensation obligation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(54,808)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compensation activity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439,776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11,298</w:t>
            </w:r>
          </w:p>
        </w:tc>
        <w:tc>
          <w:tcPr>
            <w:tcW w:w="0" w:type="dxa"/>
            <w:vAlign w:val="bottom"/>
          </w:tcPr>
          <w:p>
            <w:pPr>
              <w:spacing w:after="0"/>
              <w:rPr>
                <w:sz w:val="1"/>
                <w:szCs w:val="1"/>
                <w:color w:val="auto"/>
              </w:rPr>
            </w:pPr>
          </w:p>
        </w:tc>
      </w:tr>
      <w:tr>
        <w:trPr>
          <w:trHeight w:val="170"/>
        </w:trPr>
        <w:tc>
          <w:tcPr>
            <w:tcW w:w="4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 of redeemable partnership units to liquidation value at period end</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declared to general partnership unitholders ($0.15 per unit)</w:t>
            </w:r>
          </w:p>
        </w:tc>
        <w:tc>
          <w:tcPr>
            <w:tcW w:w="11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(26,398)</w:t>
            </w:r>
          </w:p>
        </w:tc>
        <w:tc>
          <w:tcPr>
            <w:tcW w:w="0" w:type="dxa"/>
            <w:vAlign w:val="bottom"/>
          </w:tcPr>
          <w:p>
            <w:pPr>
              <w:spacing w:after="0"/>
              <w:rPr>
                <w:sz w:val="1"/>
                <w:szCs w:val="1"/>
                <w:color w:val="auto"/>
              </w:rPr>
            </w:pPr>
          </w:p>
        </w:tc>
      </w:tr>
      <w:tr>
        <w:trPr>
          <w:trHeight w:val="164"/>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173,050,963</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994,626</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(362)</w:t>
            </w:r>
          </w:p>
        </w:tc>
        <w:tc>
          <w:tcPr>
            <w:tcW w:w="10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2,815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997,079</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3"/>
                <w:szCs w:val="13"/>
                <w:color w:val="auto"/>
              </w:rPr>
              <w:t>Net loss</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(88,936)</w:t>
            </w:r>
          </w:p>
        </w:tc>
        <w:tc>
          <w:tcPr>
            <w:tcW w:w="0" w:type="dxa"/>
            <w:vAlign w:val="bottom"/>
          </w:tcPr>
          <w:p>
            <w:pPr>
              <w:spacing w:after="0"/>
              <w:rPr>
                <w:sz w:val="1"/>
                <w:szCs w:val="1"/>
                <w:color w:val="auto"/>
              </w:rPr>
            </w:pPr>
          </w:p>
        </w:tc>
      </w:tr>
      <w:tr>
        <w:trPr>
          <w:trHeight w:val="170"/>
        </w:trPr>
        <w:tc>
          <w:tcPr>
            <w:tcW w:w="4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compensation obligation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(75,638)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70"/>
        </w:trPr>
        <w:tc>
          <w:tcPr>
            <w:tcW w:w="4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Share-based compensation activity</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726,852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of redeemable partnership units to liquidation value at period end</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70"/>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Distributions declared to general partnership unitholders ($0.15 per unit)</w:t>
            </w: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(26,380)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(26,380)</w:t>
            </w:r>
          </w:p>
        </w:tc>
        <w:tc>
          <w:tcPr>
            <w:tcW w:w="0" w:type="dxa"/>
            <w:vAlign w:val="bottom"/>
          </w:tcPr>
          <w:p>
            <w:pPr>
              <w:spacing w:after="0"/>
              <w:rPr>
                <w:sz w:val="1"/>
                <w:szCs w:val="1"/>
                <w:color w:val="auto"/>
              </w:rPr>
            </w:pPr>
          </w:p>
        </w:tc>
      </w:tr>
      <w:tr>
        <w:trPr>
          <w:trHeight w:val="195"/>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June 30, 2025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173,702,177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881,700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(1,461)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2,815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883,054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88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(25,998)</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0" w:type="dxa"/>
            <w:vAlign w:val="bottom"/>
          </w:tcPr>
          <w:p>
            <w:pPr>
              <w:spacing w:after="0"/>
              <w:rPr>
                <w:sz w:val="1"/>
                <w:szCs w:val="1"/>
                <w:color w:val="auto"/>
              </w:rPr>
            </w:pPr>
          </w:p>
        </w:tc>
      </w:tr>
      <w:tr>
        <w:trPr>
          <w:trHeight w:val="170"/>
        </w:trPr>
        <w:tc>
          <w:tcPr>
            <w:tcW w:w="4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compensation obligation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compensation activity</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2,207</w:t>
            </w:r>
          </w:p>
        </w:tc>
        <w:tc>
          <w:tcPr>
            <w:tcW w:w="0" w:type="dxa"/>
            <w:vAlign w:val="bottom"/>
          </w:tcPr>
          <w:p>
            <w:pPr>
              <w:spacing w:after="0"/>
              <w:rPr>
                <w:sz w:val="1"/>
                <w:szCs w:val="1"/>
                <w:color w:val="auto"/>
              </w:rPr>
            </w:pPr>
          </w:p>
        </w:tc>
      </w:tr>
      <w:tr>
        <w:trPr>
          <w:trHeight w:val="170"/>
        </w:trPr>
        <w:tc>
          <w:tcPr>
            <w:tcW w:w="4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 of redeemable partnership units to liquidation value at period end</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declared to general partnership unitholders ($0.08 per unit)</w:t>
            </w:r>
          </w:p>
        </w:tc>
        <w:tc>
          <w:tcPr>
            <w:tcW w:w="11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(14,069)</w:t>
            </w:r>
          </w:p>
        </w:tc>
        <w:tc>
          <w:tcPr>
            <w:tcW w:w="0" w:type="dxa"/>
            <w:vAlign w:val="bottom"/>
          </w:tcPr>
          <w:p>
            <w:pPr>
              <w:spacing w:after="0"/>
              <w:rPr>
                <w:sz w:val="1"/>
                <w:szCs w:val="1"/>
                <w:color w:val="auto"/>
              </w:rPr>
            </w:pPr>
          </w:p>
        </w:tc>
      </w:tr>
      <w:tr>
        <w:trPr>
          <w:trHeight w:val="164"/>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September 30, 2025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173,699,039</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843,757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(1,900)</w:t>
            </w:r>
          </w:p>
        </w:tc>
        <w:tc>
          <w:tcPr>
            <w:tcW w:w="10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2,814</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844,671</w:t>
            </w:r>
          </w:p>
        </w:tc>
        <w:tc>
          <w:tcPr>
            <w:tcW w:w="0" w:type="dxa"/>
            <w:vAlign w:val="bottom"/>
          </w:tcPr>
          <w:p>
            <w:pPr>
              <w:spacing w:after="0"/>
              <w:rPr>
                <w:sz w:val="1"/>
                <w:szCs w:val="1"/>
                <w:color w:val="auto"/>
              </w:rPr>
            </w:pPr>
          </w:p>
        </w:tc>
      </w:tr>
      <w:tr>
        <w:trPr>
          <w:trHeight w:val="25"/>
        </w:trPr>
        <w:tc>
          <w:tcPr>
            <w:tcW w:w="48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BRANDYWINE OPERATING PARTNERSHIP L.P.</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ectPr>
          <w:pgSz w:w="11900" w:h="16838" w:orient="portrait"/>
          <w:cols w:equalWidth="0" w:num="1">
            <w:col w:w="10139"/>
          </w:cols>
          <w:pgMar w:left="320" w:top="121"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7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(141,990)</w:t>
            </w:r>
          </w:p>
        </w:tc>
        <w:tc>
          <w:tcPr>
            <w:tcW w:w="0" w:type="dxa"/>
            <w:vAlign w:val="bottom"/>
          </w:tcPr>
          <w:p>
            <w:pPr>
              <w:spacing w:after="0"/>
              <w:rPr>
                <w:sz w:val="1"/>
                <w:szCs w:val="1"/>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131,120</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discount/(premium), net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stock compensation costs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Straight-line rent income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acquired above (below) market leases, net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Ground rent expense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gain on sale of real estate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impairment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63,369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unconsolidated real estate ventures, including income distributions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43,527</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(9,771)</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gains and rent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84,357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88,167</w:t>
            </w:r>
          </w:p>
        </w:tc>
        <w:tc>
          <w:tcPr>
            <w:tcW w:w="0" w:type="dxa"/>
            <w:vAlign w:val="bottom"/>
          </w:tcPr>
          <w:p>
            <w:pPr>
              <w:spacing w:after="0"/>
              <w:rPr>
                <w:sz w:val="1"/>
                <w:szCs w:val="1"/>
                <w:color w:val="auto"/>
              </w:rPr>
            </w:pPr>
          </w:p>
        </w:tc>
      </w:tr>
      <w:tr>
        <w:trPr>
          <w:trHeight w:val="19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real estate investments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sale of properties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526,030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69,930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 for tenant improvements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(54,343)</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 for redevelopments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 for developments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(20,881)</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Advances for the purchase of tenant assets, net of repayments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in unconsolidated real estate ventures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(61,883)</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distributions from unconsolidated real estate ventures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Leasing costs paid</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(10,203)</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388,813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(81,072)</w:t>
            </w:r>
          </w:p>
        </w:tc>
        <w:tc>
          <w:tcPr>
            <w:tcW w:w="0" w:type="dxa"/>
            <w:vAlign w:val="bottom"/>
          </w:tcPr>
          <w:p>
            <w:pPr>
              <w:spacing w:after="0"/>
              <w:rPr>
                <w:sz w:val="1"/>
                <w:szCs w:val="1"/>
                <w:color w:val="auto"/>
              </w:rPr>
            </w:pPr>
          </w:p>
        </w:tc>
      </w:tr>
      <w:tr>
        <w:trPr>
          <w:trHeight w:val="19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credit facility borrowings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credit facility borrowings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unsecured notes</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159,000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unsecured notes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unsecured term loan</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unsecured term loan</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construction loan</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construction loan</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(43,370)</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secured term loan</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secured term loan</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financing costs paid</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used for employee taxes upon vesting of share awards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and retirement of common units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paid to preferred and common partnership units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(79,186)</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(221,775)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(26,744)</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Increase/(Decrease) in cash and cash equivalents and restricted cash</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96,177</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76,528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Reconciliation of cash and cash equivalents and restricted cash:</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7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90,229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 beginning of period</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5,948</w:t>
            </w: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96,177</w:t>
            </w:r>
          </w:p>
        </w:tc>
        <w:tc>
          <w:tcPr>
            <w:tcW w:w="0" w:type="dxa"/>
            <w:vAlign w:val="bottom"/>
          </w:tcPr>
          <w:p>
            <w:pPr>
              <w:spacing w:after="0"/>
              <w:rPr>
                <w:sz w:val="1"/>
                <w:szCs w:val="1"/>
                <w:color w:val="auto"/>
              </w:rPr>
            </w:pPr>
          </w:p>
        </w:tc>
      </w:tr>
      <w:tr>
        <w:trPr>
          <w:trHeight w:val="199"/>
        </w:trPr>
        <w:tc>
          <w:tcPr>
            <w:tcW w:w="7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75,478</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 end of period</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313,697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76,528</w:t>
            </w:r>
          </w:p>
        </w:tc>
        <w:tc>
          <w:tcPr>
            <w:tcW w:w="0" w:type="dxa"/>
            <w:vAlign w:val="bottom"/>
          </w:tcPr>
          <w:p>
            <w:pPr>
              <w:spacing w:after="0"/>
              <w:rPr>
                <w:sz w:val="1"/>
                <w:szCs w:val="1"/>
                <w:color w:val="auto"/>
              </w:rPr>
            </w:pPr>
          </w:p>
        </w:tc>
      </w:tr>
      <w:tr>
        <w:trPr>
          <w:trHeight w:val="199"/>
        </w:trPr>
        <w:tc>
          <w:tcPr>
            <w:tcW w:w="7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paid for interest, net of capitalized interest during the nine months ended September 30, 2026 and 2025 of $1,972</w:t>
            </w: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117,112</w:t>
            </w:r>
          </w:p>
        </w:tc>
        <w:tc>
          <w:tcPr>
            <w:tcW w:w="100" w:type="dxa"/>
            <w:vAlign w:val="bottom"/>
          </w:tcPr>
          <w:p>
            <w:pPr>
              <w:spacing w:after="0"/>
              <w:rPr>
                <w:sz w:val="14"/>
                <w:szCs w:val="14"/>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82,251</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$9,801, respectively</w:t>
            </w:r>
          </w:p>
        </w:tc>
        <w:tc>
          <w:tcPr>
            <w:tcW w:w="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activity:</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and distributions declared but not paid</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Extinguishment of debt costs accrued in financing activities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capital expenditures financed through accounts payable at period end</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(8,514)</w:t>
            </w:r>
          </w:p>
        </w:tc>
        <w:tc>
          <w:tcPr>
            <w:tcW w:w="0" w:type="dxa"/>
            <w:vAlign w:val="bottom"/>
          </w:tcPr>
          <w:p>
            <w:pPr>
              <w:spacing w:after="0"/>
              <w:rPr>
                <w:sz w:val="1"/>
                <w:szCs w:val="1"/>
                <w:color w:val="auto"/>
              </w:rPr>
            </w:pPr>
          </w:p>
        </w:tc>
      </w:tr>
      <w:tr>
        <w:trPr>
          <w:trHeight w:val="21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capital expenditures financed through retention payable at period end</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1240"/>
          </w:cols>
          <w:pgMar w:left="320" w:top="164" w:right="339" w:bottom="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64" w:right="339" w:bottom="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 ORGANIZATION OF THE PARENT COMPANY AND THE OPERATING PARTNERSHIP</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Brandywine Realty Trust (the “Parent Company”) is a self-administered and self-managed real estate investment trust (“REIT”) engaged in the acquisition, development, redevelopment, ownership, management, and operation of a portfolio of office and mixed-use properties. The Parent Company owns its assets and conducts its operations through Brandywine Operating Partnership, L.P. (the “Operating Partnership”) and subsidiaries of the Operating Partnership. The Parent Company is the sole general partner of the Operating Partnership and, as of September 30, 2026, owned a 99.7% interest in the Operating Partnership. The Parent Company’s common shares of beneficial interest (“common shares”) are publicly traded on the New York Stock Exchange under the ticker symbol “BDN.” The Parent Company, the Operating Partnership, and their consolidated subsidiaries are collectively referred to as the “Company.”</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owned and consolidated 59 properties that contained an aggregate of approximately 11.1 million net rentable square feet (collectively, the “Properties”). The Company’s core portfolio of operating properties (the “Core Properties”) excludes Properties under development or redevelopment, recently completed - not stabilized Properties, and Properties held for sale. The Properties were comprised of the following as of September 30, 2026: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Number of Properties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Rentable Square Feet</w:t>
            </w:r>
          </w:p>
        </w:tc>
      </w:tr>
      <w:tr>
        <w:trPr>
          <w:trHeight w:val="23"/>
        </w:trPr>
        <w:tc>
          <w:tcPr>
            <w:tcW w:w="8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Properties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9,652,038</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Mixed-use Properties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1,146,342</w:t>
            </w: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Core Properties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10,798,380</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Development/redevelopment Properties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298,071</w:t>
            </w:r>
          </w:p>
        </w:tc>
      </w:tr>
      <w:tr>
        <w:trPr>
          <w:trHeight w:val="228"/>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 Properties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11,096,451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Properties, as of September 30, 2026, the Company owned 106.5 acres of land held for development. The Company also held a leasehold interest in a 0.8 acre land parcel, acquired through a prepaid 99-year ground lease, and held options to purchase approximately 5.1 additional acres of undeveloped land. As of September 30, 2026, the total potential development that this inventory of land could support under current zoning and entitlements, including the parcels under option, amounted to an estimated 11.6 million net rentable square feet.</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also owned economic interests in six unconsolidated real estate ventures (see Note 4, “Investment in Unconsolidated Real Estate Ventures,” for further information). The Properties and the properties owned by the unconsolidated real estate ventures are primarily located in or near Philadelphia, Pennsylvania; Austin, Texas; Washington, D.C.; Southern New Jersey; and Wilmington, Delaware.</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conducts its third-party real estate management services business primarily through wholly-owned management company subsidiaries. As of September 30, 2026, the management company subsidiaries were managing properties containing an aggregate of approximately 18.1 million net rentable square feet, of which approximately 11.3 million net rentable square feet related to Properties owned by the Company, and approximately 6.8 million net rentable square feet related to properties owned by the unconsolidated real estate ventures.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all references in this Form 10-Q to square feet and net rentable square feet represent net rentable area.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 BASIS OF PRESENTATION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have been prepared by the Company pursuant to the rules and regulations of the U.S. Securities and Exchange Commission (“SEC”) for interim financial statements. Certain information and footnote disclosures normally included in the annual financial statements prepared in accordance with accounting principles generally accepted in the United States of America (“GAAP”) have been condensed or omitted pursuant to such rules and regulations. In the opinion of management, all adjustments consist solely of normal recurring matters, and result in a fair statement of the financial position of the Company as of September 30, 2026, the results of its operations for the three and nine months ended September 30, 2026 and 2025 and its cash flows for the nine months ended September 30, 2026 and 2025. The results of operations for such interim periods are not necessarily indicative of the results for a full year. These consolidated financial statements should be read in conjunction with the Parent Company’s and the Operating Partnership’s consolidated financial statements and footnotes included in their combined Annual Report on Form 10-K for the year ended December 31, 2025 filed with the SEC on February 23, 2026.</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balance sheet at December 31, 2025 has been derived from the audited financial statements as of that date but does not include all the information and footnotes required by GAAP for complete financial statements. The Company’s Annual Report on Form 10-K for the year ended December 31, 2025 contains a discussion of the Company’s significant accounting policies under Note 2, “Summary of Significant Accounting Policies”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have been no material changes in the Company’s significant accounting policies since December 31,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The estimates and assumptions include, but are not limited to, the amount and timing of development/redevelopment costs and of Company obligations for such costs, including costs incurred through unconsolidated real estate ventures. The estimates and assumptions for development/redevelopment cost are highly judgmental, cover significant future time horizons and are sensitive to cost escalations, sales price escalations and timing and pricing of leasing activity, all of which may be affected by expectations about future market or economic conditions. Actual results could differ from these and other estimates.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REAL ESTATE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the gross carrying value of the Properties, reflected in the line item “Operating properties”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sheets, was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2026</w:t>
            </w:r>
          </w:p>
        </w:tc>
        <w:tc>
          <w:tcPr>
            <w:tcW w:w="18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337,459</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2,498,908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2,925,483</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490,838</w:t>
            </w: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3,300,851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3,753,780</w:t>
            </w:r>
          </w:p>
        </w:tc>
      </w:tr>
      <w:tr>
        <w:trPr>
          <w:trHeight w:val="21"/>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sold a 100,820 square foot office building located in the Pennsylvania Suburbs segment to an unaffiliated third party for a sales price of $41.5 million. Upon the completion of the sale, the Company recorded a $13.5 million gain during the third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sold a 205,803 square foot office building and its above ground parking garage located in the Austin, Texas segment to an unaffiliated third party for a sales price of $151.0 million. Upon the completion of the sale, the Company recognized a $41.3 million gain during the third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sold two office buildings totaling 468,279 square feet and a parking garage, located in the Other segment to an unaffiliated third party for a sales price of $97.1 million. Upon the completion of the sale, the Company recognized a $0.9 million gain during the third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sold a 441,000 square foot office property located in the Pennsylvania Central Business District segment to an unaffiliated third party for a sales price of $240.0 million. Prior to the sale and during the three months ended September 30, 2026, the Company recognized a provision for impairment of $29.1 million on the property based upon the executed agreement of sale.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Held-for-use Impairment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quarter ended September 30, 2026, the Company did not recognize any held-for-use impairment losses.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Held-for-sale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Company had no assets held for sale.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 INVESTMENT IN UNCONSOLIDATED REAL ESTATE VENTURES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held ownership interests in six unconsolidated real estate ventures, with a net aggregate investment balance of $306.7 million. As of September 30, 2026, four of the real estate ventures owned properties (directly or through leasehold interests) that contained an aggregate of approximately 4.1 million net rentable square feet of office space; and two of the real estate ventures owned 1.4 acres of land held for development.</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accounts for its interests in the unconsolidated real estate ventures, which ownership interests range, as of September 30, 2026, from 20% to 85%, using the equity method of accounting. Certain of the unconsolidated real estate ventures are subject to specified priority allocations of distributable cash, including cash from operations and cash from capital events, such as sales of properties.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earned management fees from the unconsolidated real estate ventures of $0.9 million and $1.2 million for the three months ended September 30, 2026 and 2025, respectively, and $2.5 million and $3.8 million for the nine months ended September 30, 2026 and 2025,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earned leasing commissions from the unconsolidated real estate ventures of $1.0 million and $0.8 million for the three months ended September 30, 2026 and 2025, respectively, and $2.7 million and $2.9 million for the nine months ended September 30, 2026 and 2025,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outstanding accounts receivable balances from the unconsolidated real estate ventures of $1.4 million and $0.5 million as of September 30, 2026 and December 31, 2025,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reflected in the following tables (except for the Company’s share of equity in income) are based on the financial information of the individual unconsolidated real estate ventures.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financial position of the unconsolidated real estate ventures in which the Company held interests as of September 30, 2026 and December 31, 2025 (in thousands):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September 30, 2026</w:t>
            </w:r>
          </w:p>
        </w:tc>
        <w:tc>
          <w:tcPr>
            <w:tcW w:w="420" w:type="dxa"/>
            <w:vAlign w:val="bottom"/>
          </w:tcPr>
          <w:p>
            <w:pPr>
              <w:spacing w:after="0"/>
              <w:rPr>
                <w:sz w:val="20"/>
                <w:szCs w:val="20"/>
                <w:color w:val="auto"/>
              </w:rPr>
            </w:pPr>
          </w:p>
        </w:tc>
        <w:tc>
          <w:tcPr>
            <w:tcW w:w="24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1,054,494</w:t>
            </w:r>
          </w:p>
        </w:tc>
        <w:tc>
          <w:tcPr>
            <w:tcW w:w="1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1,164,117</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174,218</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179,663</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97,963</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85,524</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42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495,453</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583,062</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t>
            </w:r>
          </w:p>
        </w:tc>
        <w:tc>
          <w:tcPr>
            <w:tcW w:w="42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635,296</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675,194</w:t>
            </w:r>
          </w:p>
        </w:tc>
      </w:tr>
    </w:tbl>
    <w:p>
      <w:pPr>
        <w:spacing w:after="0" w:line="193" w:lineRule="exact"/>
        <w:rPr>
          <w:sz w:val="20"/>
          <w:szCs w:val="20"/>
          <w:color w:val="auto"/>
        </w:rPr>
      </w:pPr>
    </w:p>
    <w:p>
      <w:pPr>
        <w:jc w:val="both"/>
        <w:ind w:left="660" w:hanging="652"/>
        <w:spacing w:after="0" w:line="268" w:lineRule="auto"/>
        <w:tabs>
          <w:tab w:leader="none" w:pos="6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does not include the effect of the basis difference between the Company’s historical cost basis and the basis recorded at the real estate venture level, which is amortized over the life of the related assets and liabilities. Basis differentials occur from the impairment of investments, purchases of third-party interests in existing real estate ventures and upon the transfer of assets that were previously owned by the Company into a real estate venture. In addition, certain acquisition, transaction and other costs may not be reflected in the net assets at the real estate venture level.</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results of operations of the unconsolidated real estate ventures in which the Company held interests during the three and nine-month periods ended September 30, 2026 and 2025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58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338"/>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2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105,038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118,262</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(48,118)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(51,179)</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(45,417)</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(49,486)</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property disposition (a)</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early extinguishment of debt (a)</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(28,294)</w:t>
            </w:r>
          </w:p>
        </w:tc>
      </w:tr>
      <w:tr>
        <w:trPr>
          <w:trHeight w:val="207"/>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Ownership interest %</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Various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Various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Various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Various</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Company's share of net loss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(43,821)</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Other-than-temporary impairment (a)</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adjustments and other</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07"/>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loss of unconsolidated real estate ventures</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(14,157)</w:t>
            </w:r>
          </w:p>
        </w:tc>
        <w:tc>
          <w:tcPr>
            <w:tcW w:w="14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(18,183)</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(31,597)</w:t>
            </w:r>
          </w:p>
        </w:tc>
        <w:tc>
          <w:tcPr>
            <w:tcW w:w="14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(43,526)</w:t>
            </w:r>
          </w:p>
        </w:tc>
      </w:tr>
    </w:tbl>
    <w:p>
      <w:pPr>
        <w:spacing w:after="0" w:line="166" w:lineRule="exact"/>
        <w:rPr>
          <w:sz w:val="20"/>
          <w:szCs w:val="20"/>
          <w:color w:val="auto"/>
        </w:rPr>
      </w:pPr>
    </w:p>
    <w:p>
      <w:pPr>
        <w:ind w:right="220" w:firstLine="8"/>
        <w:spacing w:after="0" w:line="302" w:lineRule="auto"/>
        <w:tabs>
          <w:tab w:leader="none" w:pos="1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Represents a net loss of $5.3 million on the Company's investment in the One Uptown Multi-Family Venture during the third quarter. This net loss consists of a $5.5 million gain from the sale of real estate, partially offset by a $0.2 million loss on debt extinguishment, and further reduced by a $10.6 million other-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4"/>
          <w:szCs w:val="14"/>
          <w:color w:val="auto"/>
        </w:rPr>
        <w:t>than-temporary impairment loss on the investment. The impairment loss reflects the write-down of the Company's remaining investment balance based on the residual proceeds attributable to the Company following repayment of the Venture's construction loan and payment to the Venture's preferred partner in settlement of its preferred interest.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Uptown Multi-Family Venture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30, 2026, the One Uptown Multi-Family Venture completed the sale of its 341 unit luxury apartment building in the Austin, Texas segment to an unaffiliated third party for a sales price of $136.0 million. Upon the completion of the sale, the Venture recognized a net gain of approximately $5.3 million. As part of the sale, the Venture repaid the $76.5 million construction loan and paid $42.9 million to the Venture's preferred partner in settlement of its preferred interest.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5. LEASES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sets forth the allocation of lease revenue between fixed contractual payments and variable lease payments for the three and nine months ended September 30, 2026 and 2025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Lease Revenue</w:t>
            </w:r>
          </w:p>
        </w:tc>
        <w:tc>
          <w:tcPr>
            <w:tcW w:w="160" w:type="dxa"/>
            <w:vAlign w:val="bottom"/>
          </w:tcPr>
          <w:p>
            <w:pPr>
              <w:spacing w:after="0"/>
              <w:rPr>
                <w:sz w:val="20"/>
                <w:szCs w:val="20"/>
                <w:color w:val="auto"/>
              </w:rPr>
            </w:pP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40" w:type="dxa"/>
            <w:vAlign w:val="bottom"/>
          </w:tcPr>
          <w:p>
            <w:pPr>
              <w:spacing w:after="0"/>
              <w:rPr>
                <w:sz w:val="20"/>
                <w:szCs w:val="20"/>
                <w:color w:val="auto"/>
              </w:rPr>
            </w:pPr>
          </w:p>
        </w:tc>
        <w:tc>
          <w:tcPr>
            <w:tcW w:w="30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contractual payments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274,871</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263,082</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71,537</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111,736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352,733</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334,619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6. INTANGIBLE ASSETS AND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Company’s intangible assets/liabilities were comprised of the following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8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5"/>
                <w:szCs w:val="15"/>
                <w:color w:val="auto"/>
              </w:rPr>
            </w:pPr>
          </w:p>
        </w:tc>
        <w:tc>
          <w:tcPr>
            <w:tcW w:w="1200" w:type="dxa"/>
            <w:vAlign w:val="bottom"/>
          </w:tcPr>
          <w:p>
            <w:pPr>
              <w:jc w:val="center"/>
              <w:ind w:right="30"/>
              <w:spacing w:after="0" w:line="177" w:lineRule="exact"/>
              <w:rPr>
                <w:sz w:val="20"/>
                <w:szCs w:val="20"/>
                <w:color w:val="auto"/>
              </w:rPr>
            </w:pPr>
            <w:r>
              <w:rPr>
                <w:rFonts w:ascii="Times New Roman" w:cs="Times New Roman" w:eastAsia="Times New Roman" w:hAnsi="Times New Roman"/>
                <w:sz w:val="18"/>
                <w:szCs w:val="18"/>
                <w:color w:val="auto"/>
                <w:w w:val="98"/>
              </w:rPr>
              <w:t>Intangible</w:t>
            </w:r>
          </w:p>
        </w:tc>
        <w:tc>
          <w:tcPr>
            <w:tcW w:w="0" w:type="dxa"/>
            <w:vAlign w:val="bottom"/>
          </w:tcPr>
          <w:p>
            <w:pPr>
              <w:spacing w:after="0"/>
              <w:rPr>
                <w:sz w:val="1"/>
                <w:szCs w:val="1"/>
                <w:color w:val="auto"/>
              </w:rPr>
            </w:pPr>
          </w:p>
        </w:tc>
      </w:tr>
      <w:tr>
        <w:trPr>
          <w:trHeight w:val="234"/>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net</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In-place lease value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Tenant relationship value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Above market leases acquired</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7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Intangible</w:t>
            </w:r>
          </w:p>
        </w:tc>
        <w:tc>
          <w:tcPr>
            <w:tcW w:w="0" w:type="dxa"/>
            <w:vAlign w:val="bottom"/>
          </w:tcPr>
          <w:p>
            <w:pPr>
              <w:spacing w:after="0"/>
              <w:rPr>
                <w:sz w:val="1"/>
                <w:szCs w:val="1"/>
                <w:color w:val="auto"/>
              </w:rPr>
            </w:pPr>
          </w:p>
        </w:tc>
      </w:tr>
      <w:tr>
        <w:trPr>
          <w:trHeight w:val="234"/>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Intangible liabilities, net:</w:t>
            </w:r>
          </w:p>
        </w:tc>
        <w:tc>
          <w:tcPr>
            <w:tcW w:w="20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Liabilities, net</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Below market leases acquired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1280" w:type="dxa"/>
            <w:vAlign w:val="bottom"/>
            <w:tcBorders>
              <w:top w:val="single" w:sz="8" w:color="0000FF"/>
            </w:tcBorders>
          </w:tcPr>
          <w:p>
            <w:pPr>
              <w:spacing w:after="0"/>
              <w:rPr>
                <w:sz w:val="24"/>
                <w:szCs w:val="24"/>
                <w:color w:val="auto"/>
              </w:rPr>
            </w:pPr>
          </w:p>
        </w:tc>
        <w:tc>
          <w:tcPr>
            <w:tcW w:w="5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4"/>
                <w:szCs w:val="14"/>
                <w:color w:val="auto"/>
              </w:rPr>
            </w:pPr>
          </w:p>
        </w:tc>
        <w:tc>
          <w:tcPr>
            <w:tcW w:w="120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8"/>
              </w:rPr>
              <w:t>Intangible</w:t>
            </w:r>
          </w:p>
        </w:tc>
        <w:tc>
          <w:tcPr>
            <w:tcW w:w="0" w:type="dxa"/>
            <w:vAlign w:val="bottom"/>
          </w:tcPr>
          <w:p>
            <w:pPr>
              <w:spacing w:after="0"/>
              <w:rPr>
                <w:sz w:val="1"/>
                <w:szCs w:val="1"/>
                <w:color w:val="auto"/>
              </w:rPr>
            </w:pPr>
          </w:p>
        </w:tc>
      </w:tr>
      <w:tr>
        <w:trPr>
          <w:trHeight w:val="243"/>
        </w:trPr>
        <w:tc>
          <w:tcPr>
            <w:tcW w:w="7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Pr>
          <w:p>
            <w:pPr>
              <w:spacing w:after="0"/>
              <w:rPr>
                <w:sz w:val="21"/>
                <w:szCs w:val="21"/>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net</w:t>
            </w:r>
          </w:p>
        </w:tc>
        <w:tc>
          <w:tcPr>
            <w:tcW w:w="0" w:type="dxa"/>
            <w:vAlign w:val="bottom"/>
          </w:tcPr>
          <w:p>
            <w:pPr>
              <w:spacing w:after="0"/>
              <w:rPr>
                <w:sz w:val="1"/>
                <w:szCs w:val="1"/>
                <w:color w:val="auto"/>
              </w:rPr>
            </w:pPr>
          </w:p>
        </w:tc>
      </w:tr>
      <w:tr>
        <w:trPr>
          <w:trHeight w:val="210"/>
        </w:trPr>
        <w:tc>
          <w:tcPr>
            <w:tcW w:w="702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In-place lease value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0" w:type="dxa"/>
            <w:vAlign w:val="bottom"/>
          </w:tcPr>
          <w:p>
            <w:pPr>
              <w:spacing w:after="0"/>
              <w:rPr>
                <w:sz w:val="1"/>
                <w:szCs w:val="1"/>
                <w:color w:val="auto"/>
              </w:rPr>
            </w:pPr>
          </w:p>
        </w:tc>
      </w:tr>
      <w:tr>
        <w:trPr>
          <w:trHeight w:val="230"/>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Tenant relationship value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Above market leases acquired</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Intangible</w:t>
            </w:r>
          </w:p>
        </w:tc>
        <w:tc>
          <w:tcPr>
            <w:tcW w:w="0" w:type="dxa"/>
            <w:vAlign w:val="bottom"/>
          </w:tcPr>
          <w:p>
            <w:pPr>
              <w:spacing w:after="0"/>
              <w:rPr>
                <w:sz w:val="1"/>
                <w:szCs w:val="1"/>
                <w:color w:val="auto"/>
              </w:rPr>
            </w:pPr>
          </w:p>
        </w:tc>
      </w:tr>
      <w:tr>
        <w:trPr>
          <w:trHeight w:val="243"/>
        </w:trPr>
        <w:tc>
          <w:tcPr>
            <w:tcW w:w="7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Intangible liabilities, net:</w:t>
            </w:r>
          </w:p>
        </w:tc>
        <w:tc>
          <w:tcPr>
            <w:tcW w:w="200" w:type="dxa"/>
            <w:vAlign w:val="bottom"/>
          </w:tcPr>
          <w:p>
            <w:pPr>
              <w:spacing w:after="0"/>
              <w:rPr>
                <w:sz w:val="21"/>
                <w:szCs w:val="21"/>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Amortization</w:t>
            </w:r>
          </w:p>
        </w:tc>
        <w:tc>
          <w:tcPr>
            <w:tcW w:w="120" w:type="dxa"/>
            <w:vAlign w:val="bottom"/>
          </w:tcPr>
          <w:p>
            <w:pPr>
              <w:spacing w:after="0"/>
              <w:rPr>
                <w:sz w:val="21"/>
                <w:szCs w:val="21"/>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Liabilities, net</w:t>
            </w:r>
          </w:p>
        </w:tc>
        <w:tc>
          <w:tcPr>
            <w:tcW w:w="0" w:type="dxa"/>
            <w:vAlign w:val="bottom"/>
          </w:tcPr>
          <w:p>
            <w:pPr>
              <w:spacing w:after="0"/>
              <w:rPr>
                <w:sz w:val="1"/>
                <w:szCs w:val="1"/>
                <w:color w:val="auto"/>
              </w:rPr>
            </w:pPr>
          </w:p>
        </w:tc>
      </w:tr>
      <w:tr>
        <w:trPr>
          <w:trHeight w:val="209"/>
        </w:trPr>
        <w:tc>
          <w:tcPr>
            <w:tcW w:w="702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Below market leases acquired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Company’s annual amortization for its intangible assets/liabilities, assuming no early lease terminations, was as follows (dollars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Liabilities</w:t>
            </w:r>
          </w:p>
        </w:tc>
      </w:tr>
      <w:tr>
        <w:trPr>
          <w:trHeight w:val="244"/>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(three months remaining)</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7. DEBT OBLIGATIONS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Company’s consolidated debt obligations outstanding as of September 30, 2026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Effective</w:t>
            </w:r>
          </w:p>
        </w:tc>
        <w:tc>
          <w:tcPr>
            <w:tcW w:w="5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Maturity</w:t>
            </w: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September 30, 2026</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December 31, 2025</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Interest Rate</w:t>
            </w:r>
          </w:p>
        </w:tc>
        <w:tc>
          <w:tcPr>
            <w:tcW w:w="5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Date</w:t>
            </w:r>
          </w:p>
        </w:tc>
      </w:tr>
      <w:tr>
        <w:trPr>
          <w:trHeight w:val="142"/>
        </w:trPr>
        <w:tc>
          <w:tcPr>
            <w:tcW w:w="20" w:type="dxa"/>
            <w:vAlign w:val="bottom"/>
          </w:tcPr>
          <w:p>
            <w:pPr>
              <w:spacing w:after="0"/>
              <w:rPr>
                <w:sz w:val="12"/>
                <w:szCs w:val="12"/>
                <w:color w:val="auto"/>
              </w:rPr>
            </w:pPr>
          </w:p>
        </w:tc>
        <w:tc>
          <w:tcPr>
            <w:tcW w:w="47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SECURED DEBT:</w:t>
            </w:r>
          </w:p>
        </w:tc>
        <w:tc>
          <w:tcPr>
            <w:tcW w:w="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r>
      <w:tr>
        <w:trPr>
          <w:trHeight w:val="48"/>
        </w:trPr>
        <w:tc>
          <w:tcPr>
            <w:tcW w:w="2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3025 JFK Construction Loan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178,014</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+ 3.60%</w:t>
            </w:r>
          </w:p>
        </w:tc>
        <w:tc>
          <w:tcPr>
            <w:tcW w:w="5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w:t>
            </w:r>
          </w:p>
        </w:tc>
      </w:tr>
      <w:tr>
        <w:trPr>
          <w:trHeight w:val="193"/>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Avira Secured Term Loan (g)</w:t>
            </w:r>
          </w:p>
        </w:tc>
        <w:tc>
          <w:tcPr>
            <w:tcW w:w="1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89,799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+ 1.85%</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2033</w:t>
            </w:r>
          </w:p>
        </w:tc>
      </w:tr>
      <w:tr>
        <w:trPr>
          <w:trHeight w:val="37"/>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3151 Market C-PACE Loan (a)</w:t>
            </w: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57,324</w:t>
            </w:r>
          </w:p>
        </w:tc>
        <w:tc>
          <w:tcPr>
            <w:tcW w:w="14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7.31%</w:t>
            </w:r>
          </w:p>
        </w:tc>
        <w:tc>
          <w:tcPr>
            <w:tcW w:w="5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r>
      <w:tr>
        <w:trPr>
          <w:trHeight w:val="186"/>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Principal balance outstanding</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89,799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235,338</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deferred financing costs</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Secured indebtedness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88,009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234,079</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UNSECURED DEBT</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$600.0M Unsecured Credit Facility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+ 1.50%</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 2027</w:t>
            </w:r>
          </w:p>
        </w:tc>
      </w:tr>
      <w:tr>
        <w:trPr>
          <w:trHeight w:val="193"/>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Term Loan - Swapped to fixed</w:t>
            </w:r>
          </w:p>
        </w:tc>
        <w:tc>
          <w:tcPr>
            <w:tcW w:w="1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+ 1.70%</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(c)(d)</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2027</w:t>
            </w:r>
          </w:p>
        </w:tc>
      </w:tr>
      <w:tr>
        <w:trPr>
          <w:trHeight w:val="37"/>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$450.0M 3.95% Guaranteed Notes due 2027</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4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4.03%</w:t>
            </w:r>
          </w:p>
        </w:tc>
        <w:tc>
          <w:tcPr>
            <w:tcW w:w="5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November 2027</w:t>
            </w:r>
          </w:p>
        </w:tc>
      </w:tr>
      <w:tr>
        <w:trPr>
          <w:trHeight w:val="180"/>
        </w:trPr>
        <w:tc>
          <w:tcPr>
            <w:tcW w:w="20" w:type="dxa"/>
            <w:vAlign w:val="bottom"/>
          </w:tcPr>
          <w:p>
            <w:pPr>
              <w:spacing w:after="0"/>
              <w:rPr>
                <w:sz w:val="15"/>
                <w:szCs w:val="15"/>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$350.0M 7.55% Guaranteed Notes due 2028 (bearing interest at 8.80% as of</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30, 2026) (h)</w:t>
            </w:r>
          </w:p>
        </w:tc>
        <w:tc>
          <w:tcPr>
            <w:tcW w:w="1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4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8.98%</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2028</w:t>
            </w:r>
          </w:p>
        </w:tc>
      </w:tr>
      <w:tr>
        <w:trPr>
          <w:trHeight w:val="37"/>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$350.0M 4.55% Guaranteed Notes due 2029</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4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4.30%</w:t>
            </w:r>
          </w:p>
        </w:tc>
        <w:tc>
          <w:tcPr>
            <w:tcW w:w="5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October 2029</w:t>
            </w:r>
          </w:p>
        </w:tc>
      </w:tr>
      <w:tr>
        <w:trPr>
          <w:trHeight w:val="193"/>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$550.0M 8.88% Guaranteed Notes due 2029 (h)</w:t>
            </w:r>
          </w:p>
        </w:tc>
        <w:tc>
          <w:tcPr>
            <w:tcW w:w="1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14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8.52%</w:t>
            </w:r>
          </w:p>
        </w:tc>
        <w:tc>
          <w:tcPr>
            <w:tcW w:w="5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2029</w:t>
            </w:r>
          </w:p>
        </w:tc>
      </w:tr>
      <w:tr>
        <w:trPr>
          <w:trHeight w:val="37"/>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$300.0M 6.13% Guaranteed Notes due 2031</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4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6.13%</w:t>
            </w:r>
          </w:p>
        </w:tc>
        <w:tc>
          <w:tcPr>
            <w:tcW w:w="5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January 2031</w:t>
            </w:r>
          </w:p>
        </w:tc>
      </w:tr>
      <w:tr>
        <w:trPr>
          <w:trHeight w:val="193"/>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Indenture IA (Preferred Trust I)</w:t>
            </w:r>
          </w:p>
        </w:tc>
        <w:tc>
          <w:tcPr>
            <w:tcW w:w="1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27,062</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+ 1.51%</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2035</w:t>
            </w:r>
          </w:p>
        </w:tc>
      </w:tr>
      <w:tr>
        <w:trPr>
          <w:trHeight w:val="37"/>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Indenture IB (Preferred Trust I)</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25,774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25,774</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+ 1.51%</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April 2035</w:t>
            </w:r>
          </w:p>
        </w:tc>
      </w:tr>
      <w:tr>
        <w:trPr>
          <w:trHeight w:val="193"/>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Indenture II (Preferred Trust II)</w:t>
            </w:r>
          </w:p>
        </w:tc>
        <w:tc>
          <w:tcPr>
            <w:tcW w:w="1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25,774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25,774</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+ 1.51%</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2035</w:t>
            </w:r>
          </w:p>
        </w:tc>
      </w:tr>
      <w:tr>
        <w:trPr>
          <w:trHeight w:val="37"/>
        </w:trPr>
        <w:tc>
          <w:tcPr>
            <w:tcW w:w="2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3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balance outstanding</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2,325,610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2,328,610</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Plus: original issue premium (discount),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5,644</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7,760</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deferred financing costs</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(13,587)</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unsecured indebtedness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2,321,553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2,322,783</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3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Debt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2,409,562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2,556,862</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jc w:val="both"/>
        <w:ind w:left="660" w:hanging="652"/>
        <w:spacing w:after="0" w:line="261" w:lineRule="auto"/>
        <w:tabs>
          <w:tab w:leader="none" w:pos="65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29, 2026, we retired the $57.3 million Commercial Property Assessed Clean Energy ("C-PACE") financing for the development project at 3151 Market Street, prior to the disposition of the encumbered wholly-owned office property. In connection with the retirement, the Company recognized a net loss on early extinguishment of debt of approximately $6.3 million</w:t>
      </w:r>
    </w:p>
    <w:p>
      <w:pPr>
        <w:ind w:left="640" w:hanging="632"/>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is capped at 6.60% through the maturity of the loan. On June 23, 2026, the Company retired the $178 million construction loan.</w:t>
      </w:r>
    </w:p>
    <w:p>
      <w:pPr>
        <w:spacing w:after="0" w:line="14" w:lineRule="exact"/>
        <w:rPr>
          <w:rFonts w:ascii="Times New Roman" w:cs="Times New Roman" w:eastAsia="Times New Roman" w:hAnsi="Times New Roman"/>
          <w:sz w:val="14"/>
          <w:szCs w:val="14"/>
          <w:color w:val="auto"/>
        </w:rPr>
      </w:pPr>
    </w:p>
    <w:p>
      <w:pPr>
        <w:jc w:val="both"/>
        <w:ind w:left="660" w:hanging="652"/>
        <w:spacing w:after="0" w:line="256" w:lineRule="auto"/>
        <w:tabs>
          <w:tab w:leader="none" w:pos="65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Spread includes a 10 basis point daily secured overnight financing rate ("SOFR") adjustment. The Unsecured Credit Facility has an original maturity date of June 30, 2026, subject to two six-month extensions. On May 28, 2026, the Company exercised its first six-month extension right on the existing Unsecured Credit Facility, extending the maturity date to December 30, 2026. The Company has one additional six-month extension right to extend the maturity date to June 30, 2027. The $250.0 million unsecured term loan has a scheduled maturity date of June 30, 2027.</w:t>
      </w:r>
    </w:p>
    <w:p>
      <w:pPr>
        <w:spacing w:after="0" w:line="1" w:lineRule="exact"/>
        <w:rPr>
          <w:rFonts w:ascii="Times New Roman" w:cs="Times New Roman" w:eastAsia="Times New Roman" w:hAnsi="Times New Roman"/>
          <w:sz w:val="14"/>
          <w:szCs w:val="14"/>
          <w:color w:val="auto"/>
        </w:rPr>
      </w:pPr>
    </w:p>
    <w:p>
      <w:pPr>
        <w:ind w:left="660" w:right="20" w:hanging="652"/>
        <w:spacing w:after="0" w:line="261" w:lineRule="auto"/>
        <w:tabs>
          <w:tab w:leader="none" w:pos="6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23, 2022, the $250.0 million unsecured term loan was swapped to a fixed rate. At September 30, 2026, the fixed rate for this instrument was 5.41% and matures on June 30, 2027. The effective date of the swap was January 31, 2023.</w:t>
      </w:r>
    </w:p>
    <w:p>
      <w:pPr>
        <w:jc w:val="both"/>
        <w:ind w:left="660" w:hanging="652"/>
        <w:spacing w:after="0" w:line="259" w:lineRule="auto"/>
        <w:tabs>
          <w:tab w:leader="none" w:pos="65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third quarter of 2023, Moody’s downgraded the Company's senior unsecured credit rating from Baa3 to Ba1. As a result of the downgrade, the interest rate on the Company's 7.55% Guaranteed Notes due 2028 (the "2028 Notes") increased 25 basis points in September 2023 due to the coupon adjustment provisions within the 2028 Notes. During the first quarter of 2024, S&amp;P downgraded the Company's senior unsecured credit rating from BBB- to BB+. As a result of the downgrade, the interest rate on the 2028 Notes increased 25 basis points to 8.05% in March 2024 due to the coupon adjustment provisions within the 2028 Notes. During the second quarter of 2024, Moody's downgraded the Company's senior unsecured credit rating from Ba1 to Ba2. As a result of the downgrade, the interest rate on the 2028 Notes increased 25 basis points to 8.30% in April 2024 due to the coupon adjustment provisions within the 2028 Notes. During the first quarter of 2026, S&amp;P downgraded the Company's senior unsecured credit rating from BB+ to BB-. As a result of the downgrade, the interest rate on the 2028 Notes increased 50 basis points to 8.80%, effective September 2026, due to the coupon adjustment provisions within the 2028 Notes.</w:t>
      </w:r>
    </w:p>
    <w:p>
      <w:pPr>
        <w:spacing w:after="0" w:line="160" w:lineRule="exact"/>
        <w:rPr>
          <w:rFonts w:ascii="Times New Roman" w:cs="Times New Roman" w:eastAsia="Times New Roman" w:hAnsi="Times New Roman"/>
          <w:sz w:val="14"/>
          <w:szCs w:val="14"/>
          <w:color w:val="auto"/>
        </w:rPr>
      </w:pPr>
    </w:p>
    <w:p>
      <w:pPr>
        <w:ind w:left="660" w:hanging="652"/>
        <w:spacing w:after="0" w:line="261" w:lineRule="auto"/>
        <w:tabs>
          <w:tab w:leader="none" w:pos="65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16, 2024, the Trust Preferred I Indenture IA was swapped to a fixed rate at 5.14% for the period from March 30, 2024 to December 30, 2026 and Trust Preferred I Indenture IB and Trust Preferred II Indenture II were swapped to a fixed rate at 5.24% for the period from January 30, 2024 to January 30, 2027.</w:t>
      </w:r>
    </w:p>
    <w:p>
      <w:pPr>
        <w:ind w:left="660" w:hanging="652"/>
        <w:spacing w:after="0" w:line="251" w:lineRule="auto"/>
        <w:tabs>
          <w:tab w:leader="none" w:pos="6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24, 2026, the Company closed on a $90 million secured term loan at Avira, the residential component of 3025 JFK, located in Philadelphia, Pennsylvania. The loan has a stated interest rate of SOFR + 1.85% and an initial maturity date of June 2033. Effective June 24, 2026, the loan was swapped to a fixed rate at 5.81% through the maturity date.</w:t>
      </w:r>
    </w:p>
    <w:p>
      <w:pPr>
        <w:jc w:val="both"/>
        <w:ind w:left="660" w:hanging="652"/>
        <w:spacing w:after="0" w:line="272" w:lineRule="auto"/>
        <w:tabs>
          <w:tab w:leader="none" w:pos="6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third quarter of 2026, the Company repurchased $50 million of its 2028 Notes and $70 million of its 8.88% Guaranteed Notes Due 2029 pursuant to tender offers. In addition, the Company repurchased $20 million aggregate principal amount of its 8.88% Guaranteed Notes Due 2029 through open-market purchases. In connection with these repurchases, the Company recognized a net loss on early extinguishment of debt of approximately $9.2 million.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borrowings under its unsecured credit facility (the “Unsecured Credit Facility”) for general business purposes, including to fund costs of acquisitions, developments and redevelopments of properties, and to fund share repurchases and repay other debt. The Unsecured Credit Facility provides for borrowings of up to $600.0 million and the per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annum variable interest rate on borrowings is SOFR plus 1.40% plus a spread adjustment of 0.10%. The interest rate and facility fee are subject to adjustment upon a change in the Company’s unsecured debt ratings. During the nine months ended September 30, 2026, the weighted-average interest rate on Unsecured Credit Facility borrowings was 5.20%, resulting in $2.7 million of interest expense for such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Additional Information on Unsecured and Secured Consolidated Debt</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Parent Company unconditionally guarantees the unsecured debt obligations of the Operating Partnership (or is a co-borrower with the Operating Partnership) but does not by itself incur unsecured indebtedness. The Parent Company has no material assets other than its investment in the Operating Partnership.</w:t>
      </w:r>
    </w:p>
    <w:p>
      <w:pPr>
        <w:spacing w:after="0" w:line="1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September 26, 2025, the Company and the Operating Partnership amended their Unsecured Credit Facility to, among other things, amend the restricted payments covenant to permit the Operating Partnership to pay dividends and make distributions attributable to any period of four consecutive fiscal quarters that ends (i) on any date that occurs after June 30, 2025 and on or prior to March 31, 2026, in an amount not to exceed, in the aggregate, the greater of (a) 100% of FFO attributable to such period or (b) the minimum amount necessary for the Company to maintain its REIT status and (ii) on April 1, 2026 or any date that occurs thereafter, in an amount not to exceed, in the aggregate, the greater of (a) 95% of FFO attributable to such period or (b) the minimum amount necessary for the Company to maintain its REIT status.</w:t>
      </w:r>
    </w:p>
    <w:p>
      <w:pPr>
        <w:spacing w:after="0" w:line="13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was in compliance with all financial covenants as of September 30, 2026. Certain of the covenants restrict the Company’s ability to obtain alternative sources of capital.</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 aggregate scheduled principal payments on the Company’s consolidated debt obligations (secured and unsecured)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(three months remaining)</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837,000</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810,000</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468,409</w:t>
            </w:r>
          </w:p>
        </w:tc>
      </w:tr>
      <w:tr>
        <w:trPr>
          <w:trHeight w:val="22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2,415,409</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unamortized premiums/(discounts)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financing costs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indebtedness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2,409,562</w:t>
            </w:r>
          </w:p>
        </w:tc>
      </w:tr>
      <w:tr>
        <w:trPr>
          <w:trHeight w:val="20"/>
        </w:trPr>
        <w:tc>
          <w:tcPr>
            <w:tcW w:w="9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8. FAIR VALUE OF FINANCIAL INSTRUMENTS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Company's consolidated balance sheets are categorized based on the inputs to the valuation techniques as follows:</w:t>
      </w:r>
    </w:p>
    <w:p>
      <w:pPr>
        <w:spacing w:after="0" w:line="54" w:lineRule="exact"/>
        <w:rPr>
          <w:sz w:val="20"/>
          <w:szCs w:val="20"/>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Company has the ability to access;</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in Level 1, which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and</w:t>
      </w:r>
    </w:p>
    <w:p>
      <w:pPr>
        <w:spacing w:after="0" w:line="7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which is typically based on an entity’s own assumptions, as there is little, if any, related market activity or information.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determined the fair values disclosed below using available market information and discounted cash flow analyses as of September 30, 2026 and December 31, 2025, respectively. The discount rate used in calculating fair value is the sum of the current risk free rate and the risk premium on the date of measurement of the instruments or obligations. Considerable judgment is necessary to interpret market data and to develop the related estimates of fair value. Accordingly, the estimates presented are not necessarily indicative of the amounts that the Company could realize upon disposition. The use of different estimates and valuation methodologies may have a material effect on the fair value amounts shown. The Company believes that the carrying amounts reflected in the consolidated balance sheets at September 30, 2026 and December 31, 2025 approximate the fair values for cash and cash equivalents, accounts receivable, other assets and liabilities, accounts payable and accrued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expenses because they are short-term in duration. The following are financial instruments for which the Company’s estimates of fair value differ from the carrying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September 30, 2026</w:t>
            </w:r>
          </w:p>
        </w:tc>
        <w:tc>
          <w:tcPr>
            <w:tcW w:w="460" w:type="dxa"/>
            <w:vAlign w:val="bottom"/>
          </w:tcPr>
          <w:p>
            <w:pPr>
              <w:spacing w:after="0"/>
              <w:rPr>
                <w:sz w:val="20"/>
                <w:szCs w:val="20"/>
                <w:color w:val="auto"/>
              </w:rPr>
            </w:pPr>
          </w:p>
        </w:tc>
        <w:tc>
          <w:tcPr>
            <w:tcW w:w="290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4400" w:type="dxa"/>
            <w:vAlign w:val="bottom"/>
          </w:tcPr>
          <w:p>
            <w:pPr>
              <w:spacing w:after="0"/>
              <w:rPr>
                <w:sz w:val="19"/>
                <w:szCs w:val="19"/>
                <w:color w:val="auto"/>
              </w:rPr>
            </w:pPr>
          </w:p>
        </w:tc>
        <w:tc>
          <w:tcPr>
            <w:tcW w:w="16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Carrying Amount (a)</w:t>
            </w: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19"/>
                <w:szCs w:val="19"/>
                <w:color w:val="auto"/>
              </w:rPr>
            </w:pPr>
          </w:p>
        </w:tc>
        <w:tc>
          <w:tcPr>
            <w:tcW w:w="1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Carrying Amount (a)</w:t>
            </w:r>
          </w:p>
        </w:tc>
        <w:tc>
          <w:tcPr>
            <w:tcW w:w="3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Fair Value</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notes payable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1,856,248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1,822,648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1,994,784</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2,027,570</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553,313</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506,014</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501,541</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56,066</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58,935</w:t>
            </w:r>
          </w:p>
        </w:tc>
      </w:tr>
    </w:tbl>
    <w:p>
      <w:pPr>
        <w:spacing w:after="0" w:line="166" w:lineRule="exact"/>
        <w:rPr>
          <w:sz w:val="20"/>
          <w:szCs w:val="20"/>
          <w:color w:val="auto"/>
        </w:rPr>
      </w:pPr>
    </w:p>
    <w:p>
      <w:pPr>
        <w:ind w:left="660" w:hanging="652"/>
        <w:spacing w:after="0" w:line="302" w:lineRule="auto"/>
        <w:tabs>
          <w:tab w:leader="none" w:pos="65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financing costs of $9.4 million and $13.0 million for unsecured notes payable, $0.3 million and $0.6 million for variable rate debt and $1.8 million and $1.3 million for secured fixed rate debt as of September 30, 2026 and December 31, 2025.</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quoted market prices as of September 30, 2026 and December 31, 2025 to value the unsecured notes payable and, as such, categorized them as Level 2.</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inputs utilized to determine the fair value of the Company’s variable rate and fixed rate debt are categorized as Level 3. The fair value of the variable rate and fixed rate debt was determined using a discounted cash flow model that considered borrowing rates available to the Company for loans with similar terms and characteristics.</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Company’s Level 3 financial instruments for which fair value is disclosed, an increase in the discount rate used to determine fair value would result in a decrease to the fair value. Conversely, a decrease in the discount rate would result in an increase to the fair value.</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about the fair value of financial instruments is based upon pertinent information available to management as of September 30, 2026 and December 31, 2025. Although management is not aware of any factors that would significantly affect the fair value amounts, such amounts were not comprehensively revalued for purposes of these financial statements since September 30, 2026. Current estimates of fair value may differ from the amounts presented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9. DERIVATIVE FINANCIAL INSTRUMENTS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terms and fair values of the Company’s derivative financial instruments as of September 30, 2026 and December 31, 2025. The notional amounts provide an indication of the extent of the Company’s involvement in these instruments at that time, but do not represent exposure to credit, interest rate or market risks (dollar amounts presented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Hedge</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9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Product</w:t>
            </w:r>
          </w:p>
        </w:tc>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Hedge Type</w:t>
            </w:r>
          </w:p>
        </w:tc>
        <w:tc>
          <w:tcPr>
            <w:tcW w:w="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Designation</w:t>
            </w: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gridSpan w:val="4"/>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Notional Amount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Strike</w:t>
            </w:r>
          </w:p>
        </w:tc>
        <w:tc>
          <w:tcPr>
            <w:tcW w:w="15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Trade Date</w:t>
            </w:r>
          </w:p>
        </w:tc>
        <w:tc>
          <w:tcPr>
            <w:tcW w:w="15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Maturity Date</w:t>
            </w: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gridSpan w:val="4"/>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86"/>
        </w:trPr>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9/30/2026</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12/31/2025</w:t>
            </w: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9/30/2026</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12/31/2025</w:t>
            </w:r>
          </w:p>
        </w:tc>
        <w:tc>
          <w:tcPr>
            <w:tcW w:w="0" w:type="dxa"/>
            <w:vAlign w:val="bottom"/>
          </w:tcPr>
          <w:p>
            <w:pPr>
              <w:spacing w:after="0"/>
              <w:rPr>
                <w:sz w:val="1"/>
                <w:szCs w:val="1"/>
                <w:color w:val="auto"/>
              </w:rPr>
            </w:pPr>
          </w:p>
        </w:tc>
      </w:tr>
      <w:tr>
        <w:trPr>
          <w:trHeight w:val="37"/>
        </w:trPr>
        <w:tc>
          <w:tcPr>
            <w:tcW w:w="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Cash Flow</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3.713 %</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November 23, 2022</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June 30, 2027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3.629 %</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January 12, 2024</w:t>
            </w:r>
          </w:p>
        </w:tc>
        <w:tc>
          <w:tcPr>
            <w:tcW w:w="1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December 30, 2026</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Cash Flow</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3.725 %</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January 12, 2024</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January 30, 2027</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8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w:t>
            </w:r>
          </w:p>
        </w:tc>
        <w:tc>
          <w:tcPr>
            <w:tcW w:w="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w:t>
            </w: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 (b)</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3.959 %</w:t>
            </w:r>
          </w:p>
        </w:tc>
        <w:tc>
          <w:tcPr>
            <w:tcW w:w="100" w:type="dxa"/>
            <w:vAlign w:val="bottom"/>
            <w:shd w:val="clear" w:color="auto" w:fill="CCEEFF"/>
          </w:tcPr>
          <w:p>
            <w:pPr>
              <w:spacing w:after="0"/>
              <w:rPr>
                <w:sz w:val="12"/>
                <w:szCs w:val="12"/>
                <w:color w:val="auto"/>
              </w:rPr>
            </w:pPr>
          </w:p>
        </w:tc>
        <w:tc>
          <w:tcPr>
            <w:tcW w:w="1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June 24, 2026</w:t>
            </w:r>
          </w:p>
        </w:tc>
        <w:tc>
          <w:tcPr>
            <w:tcW w:w="1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June 24, 2033</w:t>
            </w: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96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94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5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Cash Flow</w:t>
            </w:r>
          </w:p>
        </w:tc>
        <w:tc>
          <w:tcPr>
            <w:tcW w:w="5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178,014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July 22, 2025</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July 22, 2026</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Cash Flow</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3.713 %</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November 23, 2022</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June 30, 2027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3.629 %</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January 12, 2024</w:t>
            </w:r>
          </w:p>
        </w:tc>
        <w:tc>
          <w:tcPr>
            <w:tcW w:w="1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December 30, 2026</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Cash Flow</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51,548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3.725 %</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January 12, 2024</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January 30, 2027</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4"/>
        </w:trPr>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506,624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Hedging unsecured variable rate debt.</w:t>
      </w:r>
    </w:p>
    <w:p>
      <w:pPr>
        <w:spacing w:after="0" w:line="17" w:lineRule="exact"/>
        <w:rPr>
          <w:rFonts w:ascii="Times New Roman" w:cs="Times New Roman" w:eastAsia="Times New Roman" w:hAnsi="Times New Roman"/>
          <w:sz w:val="14"/>
          <w:szCs w:val="14"/>
          <w:color w:val="auto"/>
        </w:rPr>
      </w:pPr>
    </w:p>
    <w:p>
      <w:pPr>
        <w:ind w:left="660" w:right="340" w:hanging="652"/>
        <w:spacing w:after="0" w:line="278" w:lineRule="auto"/>
        <w:tabs>
          <w:tab w:leader="none" w:pos="6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24, 2026, the Company closed on a $90 million secured term loan at Avira, the residential component of 3025 JFK, located in Philadelphia, Pennsylvania. The loan bears interest at 1.85% over SOFR and has an initial maturity date of June 2033. Effective June 24, 2026, the loan was swapped to a fixed rate at 5.81% through the maturity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its derivative instruments at fair value and records them in “Other assets” and “Other liabilities” on the Company’s consolidated balance sheets.</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the inputs utilized to determine the fair value of derivative instruments are classified in Level 2 of the fair value hierarchy.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10. LIMITED PARTNERS’ NONCONTROLLING INTERESTS IN THE PARENT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interests in the Parent Company’s financial statements relate to redeemable common limited partnership interests in the Operating Partnership held by parties other than the Parent Company and properties which are consolidated but not wholly-owned by the Operating Partnership.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Partnership</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book value of the noncontrolling interests associated with the redeemable common limited partnership units in the accompanying consolidated balance sheet of the Parent Company was $2.0 million and $2.4 million as of September 30, 2026 and December 31, 2025, respectively. Under the applicable accounting guidance, the redemption value of the redeemable common limited partnership units is carried at fair value. The Parent Company believes that the aggregate settlement value of these units (based on the number of units outstanding and the average closing price of the common shares during the last five business days of the quarter ended September 30, 2026) was approximately $1.5 million and $1.5 million as of September 30, 2026 and December 31, 2025,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11. BENEFICIARIES’ EQUITY OF THE PARENT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Share (EPS)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number of shares and net income used to calculate basic and diluted earnings per share (in thousands, except share and per share amounts; results may not add due to rounding):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7"/>
                <w:szCs w:val="17"/>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7"/>
                <w:szCs w:val="17"/>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Diluted</w:t>
            </w:r>
          </w:p>
        </w:tc>
        <w:tc>
          <w:tcPr>
            <w:tcW w:w="0" w:type="dxa"/>
            <w:vAlign w:val="bottom"/>
          </w:tcPr>
          <w:p>
            <w:pPr>
              <w:spacing w:after="0"/>
              <w:rPr>
                <w:sz w:val="1"/>
                <w:szCs w:val="1"/>
                <w:color w:val="auto"/>
              </w:rPr>
            </w:pPr>
          </w:p>
        </w:tc>
      </w:tr>
      <w:tr>
        <w:trPr>
          <w:trHeight w:val="19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(25,998)</w:t>
            </w:r>
          </w:p>
        </w:tc>
        <w:tc>
          <w:tcPr>
            <w:tcW w:w="0" w:type="dxa"/>
            <w:vAlign w:val="bottom"/>
          </w:tcPr>
          <w:p>
            <w:pPr>
              <w:spacing w:after="0"/>
              <w:rPr>
                <w:sz w:val="1"/>
                <w:szCs w:val="1"/>
                <w:color w:val="auto"/>
              </w:rPr>
            </w:pP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Nonforfeitable dividends allocated to unvested restricted shareholders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2"/>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(26,232)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(26,232)</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172,010,229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172,010,229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173,699,312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173,699,312</w:t>
            </w: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172,010,229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172,010,229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173,699,312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173,699,312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Loss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7"/>
                <w:szCs w:val="17"/>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7"/>
                <w:szCs w:val="17"/>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Diluted</w:t>
            </w:r>
          </w:p>
        </w:tc>
        <w:tc>
          <w:tcPr>
            <w:tcW w:w="0" w:type="dxa"/>
            <w:vAlign w:val="bottom"/>
          </w:tcPr>
          <w:p>
            <w:pPr>
              <w:spacing w:after="0"/>
              <w:rPr>
                <w:sz w:val="1"/>
                <w:szCs w:val="1"/>
                <w:color w:val="auto"/>
              </w:rPr>
            </w:pPr>
          </w:p>
        </w:tc>
      </w:tr>
      <w:tr>
        <w:trPr>
          <w:trHeight w:val="199"/>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(141,990)</w:t>
            </w:r>
          </w:p>
        </w:tc>
        <w:tc>
          <w:tcPr>
            <w:tcW w:w="0" w:type="dxa"/>
            <w:vAlign w:val="bottom"/>
          </w:tcPr>
          <w:p>
            <w:pPr>
              <w:spacing w:after="0"/>
              <w:rPr>
                <w:sz w:val="1"/>
                <w:szCs w:val="1"/>
                <w:color w:val="auto"/>
              </w:rPr>
            </w:pP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Nonforfeitable dividends allocated to unvested restricted shareholders</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212"/>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(102,829)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(102,829)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(142,627)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(142,627)</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173,377,458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173,377,458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173,385,330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173,385,330</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173,377,458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173,377,458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173,385,330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173,385,330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Loss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5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contingent securities/share-based compensation impact is calculated using the treasury stock method and relates to employee awards settled in shares of the Parent Company. The effect of these securities is anti-dilutive for periods that the Parent Company incurs a net loss from continuing operations available to common shareholders and therefore is excluded from the dilutive earnings per share calculation in such periods.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Redeemable common limited partnership units totaling 515,595 at September 30, 2026 and September 30, 2025 were excluded from the diluted earnings per share computations because they are not dilutive.</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Unvested restricted shares are considered participating securities which require the use of the two-class method for the computation of basic and diluted earnings per share. For the three and nine months ended September 30, 2026 and 2025, earnings representing nonforfeitable dividends as noted in the table above were allocated to the unvested restricted shares issued to the Company’s executives and other employees under the Company’s shareholder-approved long-term equity incentive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Shares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15, 2026, the Parent Company declared a distribution of $0.08 per common share, totaling $13.9 million, which was paid on October 22, 2026 to shareholders of record as of October 8, 2026.</w:t>
      </w:r>
    </w:p>
    <w:p>
      <w:pPr>
        <w:spacing w:after="0" w:line="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Parent Company maintains a common share repurchase program under which the Board of Trustees has authorized the Parent Company to repurchase its common shares. On January 3, 2019, the Board of Trustees authorized the repurchase of up to $150.0 million of the Company's common shares from and after January 3, 2019. During the three months ended September 30, 2026, the Company repurchased and retired 4,666,266 common shares at an average price of $3.19 per share, totaling $14.9 million. During the nine months ended September 30, 2026, the Company repurchased and retired 5,366,266 common shares at an average price of $3.18 per share, totaling $17.1 million. During the three months and nine months ended September 30, 2025, the Company did not repurchase any common shares under the program.</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12. PARTNERS’ EQUITY OF THE PARENT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Common Partnership Unit</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number of units and net income used to calculate basic and diluted earnings per common partnership unit (in thousands, except unit and per unit amounts; results may not add due to rounding):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5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1040" w:type="dxa"/>
            <w:vAlign w:val="bottom"/>
            <w:tcBorders>
              <w:bottom w:val="single" w:sz="8" w:color="auto"/>
            </w:tcBorders>
          </w:tcPr>
          <w:p>
            <w:pPr>
              <w:spacing w:after="0"/>
              <w:rPr>
                <w:sz w:val="18"/>
                <w:szCs w:val="18"/>
                <w:color w:val="auto"/>
              </w:rPr>
            </w:pPr>
          </w:p>
        </w:tc>
      </w:tr>
      <w:tr>
        <w:trPr>
          <w:trHeight w:val="207"/>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spacing w:after="0"/>
              <w:rPr>
                <w:sz w:val="17"/>
                <w:szCs w:val="17"/>
                <w:color w:val="auto"/>
              </w:rPr>
            </w:pPr>
          </w:p>
        </w:tc>
        <w:tc>
          <w:tcPr>
            <w:tcW w:w="11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7"/>
                <w:szCs w:val="17"/>
                <w:color w:val="auto"/>
              </w:rPr>
            </w:pPr>
          </w:p>
        </w:tc>
        <w:tc>
          <w:tcPr>
            <w:tcW w:w="10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Diluted</w:t>
            </w:r>
          </w:p>
        </w:tc>
      </w:tr>
      <w:tr>
        <w:trPr>
          <w:trHeight w:val="199"/>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(25,998)</w:t>
            </w: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Nonforfeitable dividends allocated to unvested restricted unitholders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0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unitholders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(22,335)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(22,335)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(26,310)</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r>
      <w:tr>
        <w:trPr>
          <w:trHeight w:val="20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weighted-average units outstanding</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172,525,823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172,525,823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174,214,907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174,214,907</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Common Partnership Unit: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6"/>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attributable to common unitholders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tcBorders>
              <w:bottom w:val="single" w:sz="8" w:color="auto"/>
            </w:tcBorders>
          </w:tcPr>
          <w:p>
            <w:pPr>
              <w:spacing w:after="0"/>
              <w:rPr>
                <w:sz w:val="18"/>
                <w:szCs w:val="18"/>
                <w:color w:val="auto"/>
              </w:rPr>
            </w:pPr>
          </w:p>
        </w:tc>
      </w:tr>
      <w:tr>
        <w:trPr>
          <w:trHeight w:val="207"/>
        </w:trPr>
        <w:tc>
          <w:tcPr>
            <w:tcW w:w="5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7"/>
                <w:szCs w:val="17"/>
                <w:color w:val="auto"/>
              </w:rPr>
            </w:pPr>
          </w:p>
        </w:tc>
        <w:tc>
          <w:tcPr>
            <w:tcW w:w="11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7"/>
                <w:szCs w:val="17"/>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Diluted</w:t>
            </w:r>
          </w:p>
        </w:tc>
      </w:tr>
      <w:tr>
        <w:trPr>
          <w:trHeight w:val="199"/>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(141,990)</w:t>
            </w: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Nonforfeitable dividends allocated to unvested restricted unitholders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r>
      <w:tr>
        <w:trPr>
          <w:trHeight w:val="207"/>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unitholders</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(103,143)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(103,143)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(143,053)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(143,053)</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r>
      <w:tr>
        <w:trPr>
          <w:trHeight w:val="207"/>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weighted-average units outstanding</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173,893,052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173,893,052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173,900,925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173,900,925</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Common Partnership Unit:</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attributable to common unitholders</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(0.82)</w:t>
            </w:r>
          </w:p>
        </w:tc>
      </w:tr>
      <w:tr>
        <w:trPr>
          <w:trHeight w:val="21"/>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Unvested restricted units are considered participating securities which require the use of the two-class method for the computation of basic and diluted earnings per unit. For the three and nine months ended September 30, 2026 and 2025, earnings representing nonforfeitable dividends were allocated to the unvested restricted units issued to the Parent Company’s executives and other employees under the Parent Company’s shareholder-approved long-term incentive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Partnership Units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15, 2026, the Operating Partnership declared a distribution of $0.08 per common partnership unit, totaling $13.9 million, which was paid on October 22, 2026 to unitholders of record as of October 8, 2026.</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Parent Company’s common share repurchase program, one common unit of the Operating Partnership is retired for each common share repurchased. As discussed in Note 11 above, during the three months ended September 30, 2026, the Company repurchased and retired 4,666,266 common shares at an average price of $3.19 per share, totaling $14.9 million, and the Operating Partnership retired 4,666,266 common units of the Operating Partnership. During the nine months ended September 30, 2026, the Company repurchased and retired 5,366,266 common shares at an average price of $3.18 per share, totaling $17.1 million, and the Operating Partnership retired 5,366,266 common units of the Operating Partnership. During the three months and nine months ended September 30, 2025, the Company did not repurchase any common shares under the program, and the Operating Partnership did not retire any common units of the Operating Partnership.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13. SEGMENT INFORMATION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2026, the Company owned and managed properties within four segments: (1) Philadelphia Central Business District (“Philadelphia CBD”), (2) Pennsylvania Suburbs, (3) Austin, Texas and (4) Other. The Philadelphia CBD segment includes properties located in the City of Philadelphia, Pennsylvania. The Pennsylvania Suburbs segment includes properties in Chester, Delaware, and Montgomery counties in the Philadelphia suburbs. The Austin, Texas segment includes properties in the City of Austin, Texas. The Other segment includes properties located in Washington, D.C., Northern Virginia, Southern Maryland, Camden County, New Jersey and New Castle County, Delaware. In addition to the four segments, the corporate group is responsible for cash and investment management, development/redevelopment of certain real estate properties during the construction period, and certain other general support functions. Land held for development and construction in progress is transferred to operating properties by region upon completion of the associated construction or project.</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segments are based on the Company’s method of internal reporting, which classifies the Company's operations by geographic area. The following tables provide selected asset information and results of operations of the Company’s reportable segments (in thousands):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investments, at cost:</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September 30, 2026</w:t>
            </w:r>
          </w:p>
        </w:tc>
        <w:tc>
          <w:tcPr>
            <w:tcW w:w="160" w:type="dxa"/>
            <w:vAlign w:val="bottom"/>
          </w:tcPr>
          <w:p>
            <w:pPr>
              <w:spacing w:after="0"/>
              <w:rPr>
                <w:sz w:val="19"/>
                <w:szCs w:val="19"/>
                <w:color w:val="auto"/>
              </w:rPr>
            </w:pP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12"/>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Philadelphia CBD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1,879,959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2,080,220</w:t>
            </w: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Pennsylvania Suburbs</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885,553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883,218</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Austin, Texas</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391,374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510,030</w:t>
            </w:r>
          </w:p>
        </w:tc>
      </w:tr>
      <w:tr>
        <w:trPr>
          <w:trHeight w:val="207"/>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Core Segments</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3,156,886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3,473,468</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143,965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280,312</w:t>
            </w:r>
          </w:p>
        </w:tc>
      </w:tr>
      <w:tr>
        <w:trPr>
          <w:trHeight w:val="183"/>
        </w:trPr>
        <w:tc>
          <w:tcPr>
            <w:tcW w:w="7720" w:type="dxa"/>
            <w:vAlign w:val="bottom"/>
          </w:tcPr>
          <w:p>
            <w:pPr>
              <w:ind w:left="220"/>
              <w:spacing w:after="0" w:line="183" w:lineRule="exact"/>
              <w:rPr>
                <w:sz w:val="20"/>
                <w:szCs w:val="20"/>
                <w:color w:val="auto"/>
              </w:rPr>
            </w:pPr>
            <w:r>
              <w:rPr>
                <w:rFonts w:ascii="Times New Roman" w:cs="Times New Roman" w:eastAsia="Times New Roman" w:hAnsi="Times New Roman"/>
                <w:sz w:val="16"/>
                <w:szCs w:val="16"/>
                <w:color w:val="auto"/>
              </w:rPr>
              <w:t>Operating properties</w:t>
            </w: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3,300,851</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3,753,780</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7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ground leases,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51,399</w:t>
            </w:r>
          </w:p>
        </w:tc>
      </w:tr>
      <w:tr>
        <w:trPr>
          <w:trHeight w:val="213"/>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 of use asset - operating leases,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17,806</w:t>
            </w:r>
          </w:p>
        </w:tc>
      </w:tr>
      <w:tr>
        <w:trPr>
          <w:trHeight w:val="21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Construction-in-progress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118,543</w:t>
            </w:r>
          </w:p>
        </w:tc>
      </w:tr>
      <w:tr>
        <w:trPr>
          <w:trHeight w:val="213"/>
        </w:trPr>
        <w:tc>
          <w:tcPr>
            <w:tcW w:w="7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Land held for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70,405</w:t>
            </w:r>
          </w:p>
        </w:tc>
      </w:tr>
      <w:tr>
        <w:trPr>
          <w:trHeight w:val="219"/>
        </w:trPr>
        <w:tc>
          <w:tcPr>
            <w:tcW w:w="7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leasehold interests in land held for development,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27,762</w:t>
            </w:r>
          </w:p>
        </w:tc>
      </w:tr>
    </w:tbl>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operating income: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9"/>
              </w:rPr>
              <w:t>2025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w w:val="99"/>
              </w:rPr>
              <w:t>Operating</w:t>
            </w:r>
          </w:p>
        </w:tc>
        <w:tc>
          <w:tcPr>
            <w:tcW w:w="14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Net operating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Total revenue</w:t>
            </w:r>
          </w:p>
        </w:tc>
        <w:tc>
          <w:tcPr>
            <w:tcW w:w="14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3"/>
                <w:szCs w:val="13"/>
                <w:color w:val="auto"/>
              </w:rPr>
            </w:pPr>
          </w:p>
        </w:tc>
        <w:tc>
          <w:tcPr>
            <w:tcW w:w="11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Net operating</w:t>
            </w: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rPr>
              <w:t>expenses (a)</w:t>
            </w:r>
          </w:p>
        </w:tc>
        <w:tc>
          <w:tcPr>
            <w:tcW w:w="140" w:type="dxa"/>
            <w:vAlign w:val="bottom"/>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income</w:t>
            </w: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1"/>
                <w:szCs w:val="11"/>
                <w:color w:val="auto"/>
              </w:rPr>
            </w:pPr>
          </w:p>
        </w:tc>
        <w:tc>
          <w:tcPr>
            <w:tcW w:w="114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w w:val="97"/>
              </w:rPr>
              <w:t>income</w:t>
            </w:r>
          </w:p>
        </w:tc>
        <w:tc>
          <w:tcPr>
            <w:tcW w:w="0" w:type="dxa"/>
            <w:vAlign w:val="bottom"/>
          </w:tcPr>
          <w:p>
            <w:pPr>
              <w:spacing w:after="0"/>
              <w:rPr>
                <w:sz w:val="1"/>
                <w:szCs w:val="1"/>
                <w:color w:val="auto"/>
              </w:rPr>
            </w:pPr>
          </w:p>
        </w:tc>
      </w:tr>
      <w:tr>
        <w:trPr>
          <w:trHeight w:val="84"/>
        </w:trPr>
        <w:tc>
          <w:tcPr>
            <w:tcW w:w="2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840" w:type="dxa"/>
            <w:vAlign w:val="bottom"/>
            <w:tcBorders>
              <w:top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Philadelphia CBD</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67,321</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(27,104)</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40,217</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58,250</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(21,975)</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36,275</w:t>
            </w:r>
          </w:p>
        </w:tc>
        <w:tc>
          <w:tcPr>
            <w:tcW w:w="0" w:type="dxa"/>
            <w:vAlign w:val="bottom"/>
          </w:tcPr>
          <w:p>
            <w:pPr>
              <w:spacing w:after="0"/>
              <w:rPr>
                <w:sz w:val="1"/>
                <w:szCs w:val="1"/>
                <w:color w:val="auto"/>
              </w:rPr>
            </w:pPr>
          </w:p>
        </w:tc>
      </w:tr>
      <w:tr>
        <w:trPr>
          <w:trHeight w:val="21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Pennsylvania Suburbs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22,045</w:t>
            </w:r>
          </w:p>
        </w:tc>
        <w:tc>
          <w:tcPr>
            <w:tcW w:w="0" w:type="dxa"/>
            <w:vAlign w:val="bottom"/>
          </w:tcPr>
          <w:p>
            <w:pPr>
              <w:spacing w:after="0"/>
              <w:rPr>
                <w:sz w:val="1"/>
                <w:szCs w:val="1"/>
                <w:color w:val="auto"/>
              </w:rPr>
            </w:pPr>
          </w:p>
        </w:tc>
      </w:tr>
      <w:tr>
        <w:trPr>
          <w:trHeight w:val="219"/>
        </w:trPr>
        <w:tc>
          <w:tcPr>
            <w:tcW w:w="2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Austin, Texas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16,837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10,295</w:t>
            </w:r>
          </w:p>
        </w:tc>
        <w:tc>
          <w:tcPr>
            <w:tcW w:w="0" w:type="dxa"/>
            <w:vAlign w:val="bottom"/>
          </w:tcPr>
          <w:p>
            <w:pPr>
              <w:spacing w:after="0"/>
              <w:rPr>
                <w:sz w:val="1"/>
                <w:szCs w:val="1"/>
                <w:color w:val="auto"/>
              </w:rPr>
            </w:pPr>
          </w:p>
        </w:tc>
      </w:tr>
      <w:tr>
        <w:trPr>
          <w:trHeight w:val="21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5,834</w:t>
            </w:r>
          </w:p>
        </w:tc>
        <w:tc>
          <w:tcPr>
            <w:tcW w:w="0" w:type="dxa"/>
            <w:vAlign w:val="bottom"/>
          </w:tcPr>
          <w:p>
            <w:pPr>
              <w:spacing w:after="0"/>
              <w:rPr>
                <w:sz w:val="1"/>
                <w:szCs w:val="1"/>
                <w:color w:val="auto"/>
              </w:rPr>
            </w:pPr>
          </w:p>
        </w:tc>
      </w:tr>
      <w:tr>
        <w:trPr>
          <w:trHeight w:val="219"/>
        </w:trPr>
        <w:tc>
          <w:tcPr>
            <w:tcW w:w="2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4,676</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07"/>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properties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(52,098)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73,540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121,417</w:t>
            </w:r>
          </w:p>
        </w:tc>
        <w:tc>
          <w:tcPr>
            <w:tcW w:w="100" w:type="dxa"/>
            <w:vAlign w:val="bottom"/>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(45,409)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76,008</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5"/>
        </w:trPr>
        <w:tc>
          <w:tcPr>
            <w:tcW w:w="2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2026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9"/>
              </w:rPr>
              <w:t>2025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140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Net operating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Total revenue</w:t>
            </w:r>
          </w:p>
        </w:tc>
        <w:tc>
          <w:tcPr>
            <w:tcW w:w="14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3"/>
                <w:szCs w:val="13"/>
                <w:color w:val="auto"/>
              </w:rPr>
            </w:pPr>
          </w:p>
        </w:tc>
        <w:tc>
          <w:tcPr>
            <w:tcW w:w="11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color w:val="auto"/>
              </w:rPr>
              <w:t>Net operating</w:t>
            </w: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income</w:t>
            </w: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1"/>
                <w:szCs w:val="11"/>
                <w:color w:val="auto"/>
              </w:rPr>
            </w:pPr>
          </w:p>
        </w:tc>
        <w:tc>
          <w:tcPr>
            <w:tcW w:w="114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w w:val="97"/>
              </w:rPr>
              <w:t>income</w:t>
            </w:r>
          </w:p>
        </w:tc>
        <w:tc>
          <w:tcPr>
            <w:tcW w:w="0" w:type="dxa"/>
            <w:vAlign w:val="bottom"/>
          </w:tcPr>
          <w:p>
            <w:pPr>
              <w:spacing w:after="0"/>
              <w:rPr>
                <w:sz w:val="1"/>
                <w:szCs w:val="1"/>
                <w:color w:val="auto"/>
              </w:rPr>
            </w:pPr>
          </w:p>
        </w:tc>
      </w:tr>
      <w:tr>
        <w:trPr>
          <w:trHeight w:val="84"/>
        </w:trPr>
        <w:tc>
          <w:tcPr>
            <w:tcW w:w="2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8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Philadelphia CBD</w:t>
            </w: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201,008</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(80,654)</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120,354</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170,321</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(62,978)</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107,343</w:t>
            </w:r>
          </w:p>
        </w:tc>
        <w:tc>
          <w:tcPr>
            <w:tcW w:w="0" w:type="dxa"/>
            <w:vAlign w:val="bottom"/>
          </w:tcPr>
          <w:p>
            <w:pPr>
              <w:spacing w:after="0"/>
              <w:rPr>
                <w:sz w:val="1"/>
                <w:szCs w:val="1"/>
                <w:color w:val="auto"/>
              </w:rPr>
            </w:pPr>
          </w:p>
        </w:tc>
      </w:tr>
      <w:tr>
        <w:trPr>
          <w:trHeight w:val="21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Pennsylvania Suburbs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65,268</w:t>
            </w:r>
          </w:p>
        </w:tc>
        <w:tc>
          <w:tcPr>
            <w:tcW w:w="0" w:type="dxa"/>
            <w:vAlign w:val="bottom"/>
          </w:tcPr>
          <w:p>
            <w:pPr>
              <w:spacing w:after="0"/>
              <w:rPr>
                <w:sz w:val="1"/>
                <w:szCs w:val="1"/>
                <w:color w:val="auto"/>
              </w:rPr>
            </w:pPr>
          </w:p>
        </w:tc>
      </w:tr>
      <w:tr>
        <w:trPr>
          <w:trHeight w:val="219"/>
        </w:trPr>
        <w:tc>
          <w:tcPr>
            <w:tcW w:w="2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Austin, Texas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37,831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(16,660)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21,171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53,487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(22,094)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31,393</w:t>
            </w:r>
          </w:p>
        </w:tc>
        <w:tc>
          <w:tcPr>
            <w:tcW w:w="0" w:type="dxa"/>
            <w:vAlign w:val="bottom"/>
          </w:tcPr>
          <w:p>
            <w:pPr>
              <w:spacing w:after="0"/>
              <w:rPr>
                <w:sz w:val="1"/>
                <w:szCs w:val="1"/>
                <w:color w:val="auto"/>
              </w:rPr>
            </w:pPr>
          </w:p>
        </w:tc>
      </w:tr>
      <w:tr>
        <w:trPr>
          <w:trHeight w:val="213"/>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16,748</w:t>
            </w:r>
          </w:p>
        </w:tc>
        <w:tc>
          <w:tcPr>
            <w:tcW w:w="0" w:type="dxa"/>
            <w:vAlign w:val="bottom"/>
          </w:tcPr>
          <w:p>
            <w:pPr>
              <w:spacing w:after="0"/>
              <w:rPr>
                <w:sz w:val="1"/>
                <w:szCs w:val="1"/>
                <w:color w:val="auto"/>
              </w:rPr>
            </w:pPr>
          </w:p>
        </w:tc>
      </w:tr>
      <w:tr>
        <w:trPr>
          <w:trHeight w:val="219"/>
        </w:trPr>
        <w:tc>
          <w:tcPr>
            <w:tcW w:w="2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11,612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14,283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0" w:type="dxa"/>
            <w:vAlign w:val="bottom"/>
          </w:tcPr>
          <w:p>
            <w:pPr>
              <w:spacing w:after="0"/>
              <w:rPr>
                <w:sz w:val="1"/>
                <w:szCs w:val="1"/>
                <w:color w:val="auto"/>
              </w:rPr>
            </w:pPr>
          </w:p>
        </w:tc>
      </w:tr>
      <w:tr>
        <w:trPr>
          <w:trHeight w:val="207"/>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properties</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381,562</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(156,631)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224,931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363,504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(138,356)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225,148</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property operating expenses, real estate taxes and third-party management expense.</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Unconsolidated real estate ventures: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color w:val="auto"/>
              </w:rPr>
              <w:t>Investment in real estate ventures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auto"/>
              </w:rPr>
              <w:t>Equity in income (loss) of real estate ventures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2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jc w:val="center"/>
              <w:ind w:left="599"/>
              <w:spacing w:after="0"/>
              <w:rPr>
                <w:sz w:val="20"/>
                <w:szCs w:val="20"/>
                <w:color w:val="auto"/>
              </w:rPr>
            </w:pPr>
            <w:r>
              <w:rPr>
                <w:rFonts w:ascii="Times New Roman" w:cs="Times New Roman" w:eastAsia="Times New Roman" w:hAnsi="Times New Roman"/>
                <w:sz w:val="16"/>
                <w:szCs w:val="16"/>
                <w:color w:val="auto"/>
              </w:rPr>
              <w:t>As of</w:t>
            </w: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26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color w:val="auto"/>
              </w:rPr>
              <w:t>Nine Months Ended September 30,</w:t>
            </w:r>
          </w:p>
        </w:tc>
      </w:tr>
      <w:tr>
        <w:trPr>
          <w:trHeight w:val="209"/>
        </w:trPr>
        <w:tc>
          <w:tcPr>
            <w:tcW w:w="2120" w:type="dxa"/>
            <w:vAlign w:val="bottom"/>
          </w:tcPr>
          <w:p>
            <w:pPr>
              <w:spacing w:after="0"/>
              <w:rPr>
                <w:sz w:val="18"/>
                <w:szCs w:val="18"/>
                <w:color w:val="auto"/>
              </w:rPr>
            </w:pPr>
          </w:p>
        </w:tc>
        <w:tc>
          <w:tcPr>
            <w:tcW w:w="14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September 30, 2026</w:t>
            </w:r>
          </w:p>
        </w:tc>
        <w:tc>
          <w:tcPr>
            <w:tcW w:w="1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2025</w:t>
            </w:r>
          </w:p>
        </w:tc>
      </w:tr>
      <w:tr>
        <w:trPr>
          <w:trHeight w:val="212"/>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Philadelphia CBD</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211,624</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215,078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(22,184)</w:t>
            </w: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Mid-Atlantic Office JV</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Austin, Texas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(20,908)</w:t>
            </w:r>
          </w:p>
        </w:tc>
      </w:tr>
      <w:tr>
        <w:trPr>
          <w:trHeight w:val="213"/>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17,037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35"/>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306,663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(43,526)</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operating income (“NOI”) is a non-GAAP financial measure, which we define as total property revenue less property operating expenses, real estate taxes and third-party management expenses. Property operating expenses that are included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NOI consist of costs that are necessary and allocable to our operating properties such as utilities, property-level salaries, repairs and maintenance, property insurance and management fees. General and administrative expenses that are not reflected in NOI primarily consist of corporate-level salaries, amortization of share awards and professional fees that are incurred as part of corporate office management. NOI presented by the Company may not be comparable to NOI reported by other companies that define NOI differently. NOI is the primary measure that is used by the Company’s management to evaluate the operating performance of the Company’s real estate assets by segment. The Company believes NOI provides useful information to investors regarding the financial condition and results of operations because it reflects only those income and expense items that are incurred at the property level. While NOI is a relevant and widely used measure of operating performance of real estate investment trusts, it does not represent cash flow from operations or net income as defined by GAAP and should not be considered as an alternative to those measures in evaluating our liquidity or operating performance. NOI does not reflect interest expenses, real estate impairment losses, depreciation and amortization costs, capital expenditures and leasing costs. The Company believes that net income (loss), as defined by GAAP, is the most appropriate earnings measure. The following is a reconciliation of consolidated net income (loss), as defined by GAAP, to consolidated NOI,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220" w:type="dxa"/>
            <w:vAlign w:val="bottom"/>
          </w:tcPr>
          <w:p>
            <w:pPr>
              <w:spacing w:after="0"/>
              <w:rPr>
                <w:sz w:val="18"/>
                <w:szCs w:val="18"/>
                <w:color w:val="auto"/>
              </w:rPr>
            </w:pPr>
          </w:p>
        </w:tc>
        <w:tc>
          <w:tcPr>
            <w:tcW w:w="276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Nine Months Ended September 30,</w:t>
            </w:r>
          </w:p>
        </w:tc>
      </w:tr>
      <w:tr>
        <w:trPr>
          <w:trHeight w:val="210"/>
        </w:trPr>
        <w:tc>
          <w:tcPr>
            <w:tcW w:w="5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(141,990)</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97,104</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 amortization of deferred financing costs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131,120</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34,636</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loss of unconsolidated real estate ventures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43,526</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impairment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63,369</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provision</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gain on disposition of real estate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gain on real estate venture transactions</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35"/>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operating income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225,148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14. 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litigation on various matters, including disputes with tenants, disputes with vendors, employee disputes and disputes arising out of agreements to purchase or sell properties or joint ventures or disputes relating to state and local taxes. Given the nature of the Company’s business activities, these lawsuits are considered routine to the conduct of its business. The result of any particular lawsuit cannot be predicted, because of the very nature of litigation, the litigation process and its adversarial nature, and the jury system. The Company will establish reserves for specific legal proceedings when it determines that the likelihood of an unfavorable outcome is probable and when the amount of loss is reasonably estimable. The Company does not expect that the liabilities, if any, that may ultimately result from such legal actions will have a material adverse effect on the consolidated financial position, results of operations or cash flows of the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owner of real estate, the Company is subject to various environmental laws of federal, state, and local governments. The Company’s compliance with existing laws has not had a material adverse effect on its financial condition and results of operations, and the Company does not believe it will have a material adverse effect in the future. However, the Company cannot predict the impact of unforeseen environmental contingencies or new or changed laws or regulations on its current Properties or on properties that the Company may acquire.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Guarantees and Equity Funding Commitments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Company’s unconsolidated real estate ventures had aggregate indebtedness of $498.3 million. These loans are generally mortgage or construction loans, most of which are nonrecourse to the Company, except for customary recourse carve-outs. In addition, during construction undertaken by the unconsolidated real estate ventures, including the One Uptown Ventures, the Company has provided, and expects to continue to provide, cost overrun and completion guarantees, as well as customary environmental indemnities and guarantees of customary exceptions to nonrecourse provisions in loan agreements and in certain circumstances, joint venture agreements.</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With respect to the One Uptown Office Venture, the Company has provided completion guarantees and environmental indemnities in favor of its partner. In addition, the Company has provided completion guarantees, environmental indemnities and guarantees of exceptions to nonrecourse loan provisions in favor of the lenders for the One Uptown Office Venture. Moreover, the Company has provided, in favor of the lenders, carry guarantees and limited payment guarantees up to 30% of the maximum principal balance of the $121.7 million construction loan. The construction loan was originally scheduled to mature on July 29, 2026. On May 1, 2026, One Uptown Office Venture entered into extension options for the loan with the existing lenders. The maturity of the One Uptown Office loan was extended until July 29, 2028. The One Uptown Office loan maximum principal was reduced to $108.9 million resulting in a limited payment guaranty of 34% of the principal balance.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agreed, pursuant to the leasehold mortgage loan to the New MAP Venture, to fund up to an additional $12.0 million for tenant and capital improvements pursuant to leases that the Company proposes, in its discretion, to enter into at the properties owned (through leasehold interests) by the New MAP Venture, which amounts, when funded, will accrue interest at 8.0% per annum. As of September 30, 2026, the Company has not funded any additional capital pursuant to the leasehold mortgage loan.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Impact of Natural Disasters and Casualty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certain losses, including those relating to property damage. The Company records the estimated amount of expected insurance proceeds for property damage and other losses incurred as an asset (typically a receivable from the insurer) and income up to the amount of the losses incurred when receipt of insurance proceeds is deemed probable. Any amount of insurance recovery in excess of the amount of the losses is considered a gain contingency and is not recorded until the proceeds are received.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Commitments or Contingencies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Schuylkill Yards Project, the Company entered into a neighborhood engagement program and, as of September 30, 2026, had $4.2 million of future fixed contractual obligations. The Company also committed to fund additional contributions under the program. As of September 30, 2026, the Company estimated that these additional contributions, which are not fixed under the terms of agreement, will be $2.0 million.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committed to contribute $15.0 million to a venture capital fund that invests in early-stage life science companies. As of September 30, 2026, the Company had funded $6.7 million of the foregoing commitment.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invests in its properties and regularly incurs capital expenditures in the ordinary course of business to maintain the properties. The Company believes that such expenditures enhance its competitiveness. The Company also enters into construction, utility and service contracts in the ordinary course of business which may extend beyond one year. These contracts typically provide for cancellation with insignificant or no cancellation penalties.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Private Securities Litigation Reform Act of 1995 (the “1995 Act”) provides a “safe harbor” for forward-looking statements. This Form 10-Q and other materials filed by us with the SEC (as well as information included in oral or other written statements made by us) contain statements that are forward-looking, including statements relating to business and real estate development/redevelopment activities, acquisitions, dispositions, future capital expenditures, financing sources, governmental regulation (including environmental regulation) and competition. We intend such forward-looking statements to be covered by the safe-harbor provisions of the 1995 Act. The words “anticipate,” “believe,” “estimate,” “expect,” “intend,” “will,” “should” and similar expressions, as they relate to us, are intended to identify forward-looking statements. Although we believe that the expectations reflected in such forward-looking statements are based on reasonable assumptions, we can give no assurance that our expectations will be achieved. As forward-looking statements, these statements involve important risks, uncertainties and other factors that could cause actual results to differ materially from the expected results and, accordingly, such results may differ from those expressed in any forward-looking statements made by us or on our behalf. Factors that might cause actual results to differ materially from our expectations, including any impacts from changes in national and local economic conditions, the real estate industry and the commercial real estate markets in which we operate, the imposition of tariffs, changes to the U.S. trade policy and any impacts of any U.S. government shutdown, are set forth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our Annual Report on Form 10-K for the year ended December 31, 2025. Accordingly, we caution readers not to place undue reliance on forward-looking statements. We assume no obligation to update or supplement forward-looking statements as a result of subsequent events, new information, changed circumstances or otherwise, except as required by law.</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discussion that follows is based primarily on our consolidated financial statements as of September 30, 2026 and December 31, 2025 and for the three and nine months ended September 30, 2026 and 2025 and should be read along with the consolidated financial statements and related notes appearing elsewhere in this report. The ability to compare one period to another may be significantly affected by acquisitions completed, development/redevelopment properties placed in service and dispositions made during those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OVERVIEW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2026, we owned and managed properties within four segments: (1) Philadelphia CBD, (2) Pennsylvania Suburbs, (3) Austin, Texas, and (4) Other. The Philadelphia CBD segment includes properties located in the City of Philadelphia, Pennsylvania. The Pennsylvania Suburbs segment includes properties in Chester, Delaware and Montgomery counties in the Philadelphia suburbs. The Austin, Texas segment includes properties in the City of Austin, Texas. The Other segment includes properties located in Northern Virginia, Washington, D.C., Southern Maryland, Camden County, New Jersey and New Castle County, Delaware. In addition to the four segments, our corporate group is responsible for cash and investment management, development/redevelopment of certain real estate properties during the construction period, and certain other general support functions.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condition and operating performance are dependent upon the demand for office, residential, life science, parking and retail space in our markets, our leasing results, our acquisition, disposition and development/redevelopment activity, our financing activity, our cash requirements and economic and market conditions, including prevailing interest rates.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generate cash and revenue from leases of space at our Properties and, to a lesser extent, from the management and development/redevelopment of properties owned by third parties (primarily unconsolidated real estate ventures) and from investments in the unconsolidated real estate ventures. Factors that we evaluate when leasing space include rental rates, costs of tenant improvements, tenant creditworthiness, current and expected operating costs, the length of the lease term, vacancy levels and demand for space. We also generate cash through sales of assets, including assets that we do not view as core to our business plan, either because of location or expected growth potential, and assets that are commanding premium prices from third-party investors.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Overall macroeconomic conditions, including but not limited to inflation, higher interest rates and changes in work patterns, including remote working arrangements, that have contributed to negative lease absorption within our office markets, have had a dampening effect on the fundamentals of our business, as reflected in, among other metrics, our period to period changes in our borrowing costs, occupancy levels and rental rates, as well as downward pressures on asset valuations. These adverse conditions could continue to impact our net income, cash flows and liquidity and could have a material adverse effect on our financial condition and results of operations.</w:t>
      </w:r>
    </w:p>
    <w:p>
      <w:pPr>
        <w:spacing w:after="0" w:line="1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Notwithstanding the challenging macroeconomic conditions, which have contributed to recent difficulties in leasing of vacant space at attractive rents and sourcing of capital for development projects at acceptable costs, as well as to impairments of assets, we believe that our portfolio of Properties and investments, and liquidity profile, will allow us to maintain stable operating performance. In our ongoing assessment of our Properties, we consider both their quantitative and qualitative attributes, including in relation to other properties within a given submarket or adjacent submarkets that compete with our portfolio for tenants. The attributes that we consider in our assessment include the age and condition of the property, average asking rental rates, access to mass transit and highways, floorplate efficiencies, amenities within, and nearby, the property and availability of parking as well as market demographics that bear on demand for space at our properties. We also believe that our portfolio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liquidity profile will enable us to raise capital, as necessary, in various forms and from different sources, including through secured or unsecured loans from banks, pension funds and life insurance companies. However, there can be no assurance that we will be able to borrow funds on terms that are economically attractive or at all.</w:t>
      </w:r>
    </w:p>
    <w:p>
      <w:pPr>
        <w:spacing w:after="0" w:line="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seek revenue growth throughout our portfolio by increasing occupancy and rental rates. Occupancy at our Core Properties at September 30, 2026 was 89.0% compared to 88.8% at September 30, 2025.</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selected operating and leasing statistics of our Core Properties for the three and nine months ended September 30, 2026 and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80" w:type="dxa"/>
            <w:vAlign w:val="bottom"/>
          </w:tcPr>
          <w:p>
            <w:pPr>
              <w:spacing w:after="0"/>
              <w:rPr>
                <w:sz w:val="20"/>
                <w:szCs w:val="20"/>
                <w:color w:val="auto"/>
              </w:rPr>
            </w:pPr>
          </w:p>
        </w:tc>
        <w:tc>
          <w:tcPr>
            <w:tcW w:w="28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50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Activity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Core Properties (1):</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rentable square feet owned</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10,798,380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11,289,339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10,798,380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11,289,339</w:t>
            </w: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Occupancy percentage (end of period)</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88.8 %</w:t>
            </w: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occupancy percentage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Portfolio(2):</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Tenant retention rate (3)</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66.3 %</w:t>
            </w: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leases and expansions commenced (square feet)</w:t>
            </w:r>
          </w:p>
        </w:tc>
        <w:tc>
          <w:tcPr>
            <w:tcW w:w="1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119,400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194,845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464,194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382,163</w:t>
            </w: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Leases renewed (square feet)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72,991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256,627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209,822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698,582</w:t>
            </w: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(negative) absorption (square feet)</w:t>
            </w:r>
          </w:p>
        </w:tc>
        <w:tc>
          <w:tcPr>
            <w:tcW w:w="16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42,201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(112,508)</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change in rental rates per square foot (4):</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and expansion rental rates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2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Renewal rental rates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Combined rental rates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lease term for leases commenced (years)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annual rent (per square foot) (7) (8)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39.62</w:t>
            </w:r>
          </w:p>
        </w:tc>
      </w:tr>
      <w:tr>
        <w:trPr>
          <w:trHeight w:val="230"/>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Costs Committed (5) (6) (7):</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Leasing commissions (per square foot)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5.12</w:t>
            </w:r>
          </w:p>
        </w:tc>
      </w:tr>
      <w:tr>
        <w:trPr>
          <w:trHeight w:val="22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Tenant improvements (per square foot)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10.27</w:t>
            </w: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capital per square foot per lease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annualized capital as % of average annual rent (7) (8)</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bl>
    <w:p>
      <w:pPr>
        <w:spacing w:after="0" w:line="72" w:lineRule="exact"/>
        <w:rPr>
          <w:sz w:val="20"/>
          <w:szCs w:val="20"/>
          <w:color w:val="auto"/>
        </w:rPr>
      </w:pPr>
    </w:p>
    <w:p>
      <w:pPr>
        <w:ind w:left="660" w:right="280" w:hanging="652"/>
        <w:spacing w:after="0" w:line="261" w:lineRule="auto"/>
        <w:tabs>
          <w:tab w:leader="none" w:pos="6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 wholly-owned operating properties. Does not include Properties under development/redevelopment, recently completed not-stabilized properties, or properties held for sale.</w:t>
      </w:r>
    </w:p>
    <w:p>
      <w:pPr>
        <w:ind w:left="660" w:hanging="652"/>
        <w:spacing w:after="0" w:line="261" w:lineRule="auto"/>
        <w:tabs>
          <w:tab w:leader="none" w:pos="6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leasing at recently completed not-stabilized property. The statistics presented for periods ended prior to the three-month period ended September 30, 2026 have not been adjusted for properties sold subsequent to the periods presented.</w:t>
      </w:r>
    </w:p>
    <w:p>
      <w:pPr>
        <w:ind w:left="640" w:hanging="632"/>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a percentage of total net rentable square feet.</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base rent plus reimbursement for operating expenses and real estate taxes.</w:t>
      </w:r>
    </w:p>
    <w:p>
      <w:pPr>
        <w:spacing w:after="0" w:line="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on a weighted average basis.</w:t>
      </w:r>
    </w:p>
    <w:p>
      <w:pPr>
        <w:spacing w:after="0" w:line="11" w:lineRule="exact"/>
        <w:rPr>
          <w:rFonts w:ascii="Times New Roman" w:cs="Times New Roman" w:eastAsia="Times New Roman" w:hAnsi="Times New Roman"/>
          <w:sz w:val="14"/>
          <w:szCs w:val="14"/>
          <w:color w:val="auto"/>
        </w:rPr>
      </w:pPr>
    </w:p>
    <w:p>
      <w:pPr>
        <w:ind w:left="660" w:hanging="652"/>
        <w:spacing w:after="0" w:line="261" w:lineRule="auto"/>
        <w:tabs>
          <w:tab w:leader="none" w:pos="6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 in capital costs committed for the three and nine months ended September 30, 2026 is primarily due to leases having higher average lease terms and a higher percentage of new leases compared to renewals.</w:t>
      </w:r>
    </w:p>
    <w:p>
      <w:pPr>
        <w:ind w:left="640" w:hanging="632"/>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comparison purposes, we exclude new leases of space when the previous lease of such space ended more than 12 months prior to the signing date for the new leases.</w:t>
      </w:r>
    </w:p>
    <w:p>
      <w:pPr>
        <w:spacing w:after="0" w:line="14" w:lineRule="exact"/>
        <w:rPr>
          <w:rFonts w:ascii="Times New Roman" w:cs="Times New Roman" w:eastAsia="Times New Roman" w:hAnsi="Times New Roman"/>
          <w:sz w:val="14"/>
          <w:szCs w:val="14"/>
          <w:color w:val="auto"/>
        </w:rPr>
      </w:pPr>
    </w:p>
    <w:p>
      <w:pPr>
        <w:ind w:left="660" w:right="200" w:hanging="652"/>
        <w:spacing w:after="0" w:line="230" w:lineRule="auto"/>
        <w:tabs>
          <w:tab w:leader="none" w:pos="6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annual rent represents total initial contractual rent under the applicable leases (as impacted by free rent) plus contractual fixed rent increases due under the applicable leases averaged over the total terms (without regard to extension options) of the applicable leases.</w:t>
      </w:r>
    </w:p>
    <w:p>
      <w:pPr>
        <w:jc w:val="both"/>
        <w:spacing w:after="0" w:line="236" w:lineRule="auto"/>
        <w:rPr>
          <w:sz w:val="20"/>
          <w:szCs w:val="20"/>
          <w:color w:val="auto"/>
        </w:rPr>
      </w:pPr>
      <w:r>
        <w:rPr>
          <w:rFonts w:ascii="Times New Roman" w:cs="Times New Roman" w:eastAsia="Times New Roman" w:hAnsi="Times New Roman"/>
          <w:sz w:val="18"/>
          <w:szCs w:val="18"/>
          <w:color w:val="auto"/>
        </w:rPr>
        <w:t>Our actual leasing capital costs as a percentage of rents are largely a function of the composition of our leases to new tenants or renewals with existing tenants, in addition to size and timing of occupancy. We generally experience lower leasing costs in connection with the renewal of leases with existing tenants compared to leases with new tenants. Our properties compete for tenants with similar properties primarily on the basis of location, total occupancy costs (including base rent and operating expenses), services and amenities, and the design and condition of the properties. As leases at our properties expire, we face competition to renew or re-let space in light of the competing properties within the applicable markets. As a result, and as part of customary lease negotiations, we are often required to provide rent concessions or abatements, incur charges for tenant improvements and other inducements, including early termination rights or potential below market renewal options, all of which impact, in varying degrees, annualized rents.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occupancy statistics of our Core Properties by segment for the nine months ended September 30, 2026 and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shd w:val="clear" w:color="auto" w:fill="CCEEFF"/>
          </w:tcPr>
          <w:p>
            <w:pPr>
              <w:spacing w:after="0"/>
              <w:rPr>
                <w:sz w:val="19"/>
                <w:szCs w:val="19"/>
                <w:color w:val="auto"/>
              </w:rPr>
            </w:pPr>
          </w:p>
        </w:tc>
        <w:tc>
          <w:tcPr>
            <w:tcW w:w="3500" w:type="dxa"/>
            <w:vAlign w:val="bottom"/>
            <w:tcBorders>
              <w:bottom w:val="single" w:sz="8" w:color="auto"/>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7740" w:type="dxa"/>
            <w:vAlign w:val="bottom"/>
          </w:tcPr>
          <w:p>
            <w:pPr>
              <w:spacing w:after="0"/>
              <w:rPr>
                <w:sz w:val="19"/>
                <w:szCs w:val="19"/>
                <w:color w:val="auto"/>
              </w:rPr>
            </w:pPr>
          </w:p>
        </w:tc>
        <w:tc>
          <w:tcPr>
            <w:tcW w:w="1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Occupied</w:t>
            </w:r>
          </w:p>
        </w:tc>
        <w:tc>
          <w:tcPr>
            <w:tcW w:w="1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Occupied</w:t>
            </w:r>
          </w:p>
        </w:tc>
      </w:tr>
      <w:tr>
        <w:trPr>
          <w:trHeight w:val="223"/>
        </w:trPr>
        <w:tc>
          <w:tcPr>
            <w:tcW w:w="774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Philadelphia CBD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94.0 %</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Pennsylvania Suburbs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88.3 %</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Austin, Texas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77.2 %</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87.7 %</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 Core Properties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38"/>
        </w:trPr>
        <w:tc>
          <w:tcPr>
            <w:tcW w:w="77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89.0 %</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88.8 %</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the occupancy statistics of our Properties, broken down by property types for the nine months ended September 30, 2026 and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shd w:val="clear" w:color="auto" w:fill="CCEEFF"/>
          </w:tcPr>
          <w:p>
            <w:pPr>
              <w:spacing w:after="0"/>
              <w:rPr>
                <w:sz w:val="19"/>
                <w:szCs w:val="19"/>
                <w:color w:val="auto"/>
              </w:rPr>
            </w:pPr>
          </w:p>
        </w:tc>
        <w:tc>
          <w:tcPr>
            <w:tcW w:w="374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640" w:type="dxa"/>
            <w:vAlign w:val="bottom"/>
            <w:gridSpan w:val="3"/>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178"/>
        </w:trPr>
        <w:tc>
          <w:tcPr>
            <w:tcW w:w="3860" w:type="dxa"/>
            <w:vAlign w:val="bottom"/>
          </w:tcPr>
          <w:p>
            <w:pPr>
              <w:spacing w:after="0"/>
              <w:rPr>
                <w:sz w:val="15"/>
                <w:szCs w:val="15"/>
                <w:color w:val="auto"/>
              </w:rPr>
            </w:pPr>
          </w:p>
        </w:tc>
        <w:tc>
          <w:tcPr>
            <w:tcW w:w="1860" w:type="dxa"/>
            <w:vAlign w:val="bottom"/>
            <w:tcBorders>
              <w:top w:val="single" w:sz="8" w:color="auto"/>
            </w:tcBorders>
            <w:gridSpan w:val="2"/>
          </w:tcPr>
          <w:p>
            <w:pPr>
              <w:jc w:val="center"/>
              <w:ind w:right="100"/>
              <w:spacing w:after="0" w:line="177" w:lineRule="exact"/>
              <w:rPr>
                <w:sz w:val="20"/>
                <w:szCs w:val="20"/>
                <w:color w:val="auto"/>
              </w:rPr>
            </w:pPr>
            <w:r>
              <w:rPr>
                <w:rFonts w:ascii="Times New Roman" w:cs="Times New Roman" w:eastAsia="Times New Roman" w:hAnsi="Times New Roman"/>
                <w:sz w:val="18"/>
                <w:szCs w:val="18"/>
                <w:color w:val="auto"/>
                <w:w w:val="98"/>
              </w:rPr>
              <w:t>% Net Operating</w:t>
            </w:r>
          </w:p>
        </w:tc>
        <w:tc>
          <w:tcPr>
            <w:tcW w:w="176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 Net Operating</w:t>
            </w:r>
          </w:p>
        </w:tc>
        <w:tc>
          <w:tcPr>
            <w:tcW w:w="120" w:type="dxa"/>
            <w:vAlign w:val="bottom"/>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r>
      <w:tr>
        <w:trPr>
          <w:trHeight w:val="234"/>
        </w:trPr>
        <w:tc>
          <w:tcPr>
            <w:tcW w:w="386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Income (4)</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Income (4)</w:t>
            </w:r>
          </w:p>
        </w:tc>
        <w:tc>
          <w:tcPr>
            <w:tcW w:w="1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Occupied</w:t>
            </w: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 Occupied</w:t>
            </w:r>
          </w:p>
        </w:tc>
      </w:tr>
      <w:tr>
        <w:trPr>
          <w:trHeight w:val="223"/>
        </w:trPr>
        <w:tc>
          <w:tcPr>
            <w:tcW w:w="386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88.6 %</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Science (1)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82.9 %</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88.6 %</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88.3 %</w:t>
            </w:r>
          </w:p>
        </w:tc>
      </w:tr>
    </w:tbl>
    <w:p>
      <w:pPr>
        <w:spacing w:after="0" w:line="247" w:lineRule="exact"/>
        <w:rPr>
          <w:sz w:val="20"/>
          <w:szCs w:val="20"/>
          <w:color w:val="auto"/>
        </w:rPr>
      </w:pPr>
    </w:p>
    <w:p>
      <w:pPr>
        <w:ind w:left="660" w:hanging="652"/>
        <w:spacing w:after="0" w:line="271"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Philadelphia portfolio assets located at 3000 Market Street and 3025 Market Street in Philadelphia, Pennsylvania, dedicated life science floors at Cira Centre in Philadelphia, Pennsylvania and 250 King of Prussia Road in Radnor, Pennsylvania.</w:t>
      </w:r>
    </w:p>
    <w:p>
      <w:pPr>
        <w:ind w:left="640" w:hanging="632"/>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our residential operation at 2929 Walnut Street and 3025 JFK in Philadelphia, Pennsylvania.</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Properties under development/redevelopment.</w:t>
      </w:r>
    </w:p>
    <w:p>
      <w:pPr>
        <w:spacing w:after="0" w:line="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13, “Segment Information,” to our consolidated financial statements for the definition of Net Operating Income.</w:t>
      </w:r>
    </w:p>
    <w:p>
      <w:pPr>
        <w:spacing w:after="0" w:line="1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seeking to increase revenue through our operating, financing and investment activities, we also seek to minimize operating risks, including (i) tenant rollover risk, (ii) tenant credit risk and (iii) development risk.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Tenant Rollover Risk</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risk that tenant leases, upon expiration, will not be renewed, that space may not be relet, or that the terms of renewal or reletting (including the cost of renovations) may be less favorable to us than the current lease terms. Leases that accounted for approximately 1.2% of our aggregate final annualized base rents as of September 30, 2026 (representing approximately 1.2% of the net rentable square feet of the properties) are scheduled to expire without penalty during the remainder of 2026. We maintain an active dialogue with our tenants in an effort to maximize lease renewals. If we are unable to renew leases or relet space under expiring leases, at anticipated rental rates, or if our tenants terminate their leases early, our cash flow would be adversely impacted.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Tenant Credit Risk</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tenant default, we may experience delays in enforcing our rights as a landlord and may incur substantial costs in protecting our investment. Our management evaluates our accrued rent receivable reserve policy in light of our tenant base and general and local economic conditions. Our accrued rent receivable allowance was $0.4 million, or 0.2%, of our accrued rent receivable balance as of September 30, 2026, compared to $0.4 million, or 0.2%, of our accrued rent receivable balance as of December 31, 2025.</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economic conditions deteriorate, including as a result of inflation and higher interest rates, we may experience increases in past due accounts, defaults, lower occupancy and reduced effective rents. These conditions would negatively affect our future net income and cash flows and could have a material adverse effect on our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Development and Redevelopment Risk</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and Redevelopment projects are subject to a variety of risks, including construction delays, construction cost overruns, building moratoriums, inability to obtain financing on favorable terms, inability to lease space at projected rates,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inability to enter into construction, development, redevelopment and other agreements on favorable terms, and unexpected environmental and other hazards.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2026, we have classified one office building in Wilmington, Delaware as redevelopment, but we have yet to incur material development costs on the project.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following unconsolidated real estate venture development project remains in development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Property/Portfolio Name (% of BDN</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Substantial</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Approximate</w:t>
            </w:r>
          </w:p>
        </w:tc>
        <w:tc>
          <w:tcPr>
            <w:tcW w:w="10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Estimated</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3"/>
                <w:szCs w:val="13"/>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Construction</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Our Share</w:t>
            </w:r>
          </w:p>
        </w:tc>
        <w:tc>
          <w:tcPr>
            <w:tcW w:w="100" w:type="dxa"/>
            <w:vAlign w:val="bottom"/>
          </w:tcPr>
          <w:p>
            <w:pPr>
              <w:spacing w:after="0"/>
              <w:rPr>
                <w:sz w:val="13"/>
                <w:szCs w:val="13"/>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Partner's Share</w:t>
            </w:r>
          </w:p>
        </w:tc>
        <w:tc>
          <w:tcPr>
            <w:tcW w:w="0" w:type="dxa"/>
            <w:vAlign w:val="bottom"/>
          </w:tcPr>
          <w:p>
            <w:pPr>
              <w:spacing w:after="0"/>
              <w:rPr>
                <w:sz w:val="1"/>
                <w:szCs w:val="1"/>
                <w:color w:val="auto"/>
              </w:rPr>
            </w:pPr>
          </w:p>
        </w:tc>
      </w:tr>
      <w:tr>
        <w:trPr>
          <w:trHeight w:val="148"/>
        </w:trPr>
        <w:tc>
          <w:tcPr>
            <w:tcW w:w="2280" w:type="dxa"/>
            <w:vAlign w:val="bottom"/>
            <w:gridSpan w:val="2"/>
            <w:vMerge w:val="continue"/>
          </w:tcPr>
          <w:p>
            <w:pPr>
              <w:spacing w:after="0"/>
              <w:rPr>
                <w:sz w:val="12"/>
                <w:szCs w:val="12"/>
                <w:color w:val="auto"/>
              </w:rPr>
            </w:pPr>
          </w:p>
        </w:tc>
        <w:tc>
          <w:tcPr>
            <w:tcW w:w="13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Location</w:t>
            </w: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Completion</w:t>
            </w: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Remaining to</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Remaining to be</w:t>
            </w:r>
          </w:p>
        </w:tc>
        <w:tc>
          <w:tcPr>
            <w:tcW w:w="0" w:type="dxa"/>
            <w:vAlign w:val="bottom"/>
          </w:tcPr>
          <w:p>
            <w:pPr>
              <w:spacing w:after="0"/>
              <w:rPr>
                <w:sz w:val="1"/>
                <w:szCs w:val="1"/>
                <w:color w:val="auto"/>
              </w:rPr>
            </w:pPr>
          </w:p>
        </w:tc>
      </w:tr>
      <w:tr>
        <w:trPr>
          <w:trHeight w:val="196"/>
        </w:trPr>
        <w:tc>
          <w:tcPr>
            <w:tcW w:w="22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Ownership)</w:t>
            </w:r>
          </w:p>
        </w:tc>
        <w:tc>
          <w:tcPr>
            <w:tcW w:w="1340" w:type="dxa"/>
            <w:vAlign w:val="bottom"/>
            <w:gridSpan w:val="2"/>
            <w:vMerge w:val="continue"/>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Date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Square Footage</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Costs (a)</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Funded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Loan Financing</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be Funded</w:t>
            </w:r>
          </w:p>
        </w:tc>
        <w:tc>
          <w:tcPr>
            <w:tcW w:w="100" w:type="dxa"/>
            <w:vAlign w:val="bottom"/>
          </w:tcPr>
          <w:p>
            <w:pPr>
              <w:spacing w:after="0"/>
              <w:rPr>
                <w:sz w:val="17"/>
                <w:szCs w:val="17"/>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Funded</w:t>
            </w:r>
          </w:p>
        </w:tc>
        <w:tc>
          <w:tcPr>
            <w:tcW w:w="0" w:type="dxa"/>
            <w:vAlign w:val="bottom"/>
          </w:tcPr>
          <w:p>
            <w:pPr>
              <w:spacing w:after="0"/>
              <w:rPr>
                <w:sz w:val="1"/>
                <w:szCs w:val="1"/>
                <w:color w:val="auto"/>
              </w:rPr>
            </w:pPr>
          </w:p>
        </w:tc>
      </w:tr>
      <w:tr>
        <w:trPr>
          <w:trHeight w:val="203"/>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One Uptown - Office (72%)</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Austin, TX</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Q1 2024</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362,679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209,950</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166,026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108,850</w:t>
            </w:r>
          </w:p>
        </w:tc>
        <w:tc>
          <w:tcPr>
            <w:tcW w:w="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costs include base building costs plus projected tenant fit out costs for remaining vacancies.</w:t>
      </w:r>
    </w:p>
    <w:p>
      <w:pPr>
        <w:spacing w:after="0" w:line="27" w:lineRule="exact"/>
        <w:rPr>
          <w:rFonts w:ascii="Times New Roman" w:cs="Times New Roman" w:eastAsia="Times New Roman" w:hAnsi="Times New Roman"/>
          <w:sz w:val="14"/>
          <w:szCs w:val="14"/>
          <w:color w:val="auto"/>
        </w:rPr>
      </w:pPr>
    </w:p>
    <w:p>
      <w:pPr>
        <w:ind w:firstLine="8"/>
        <w:spacing w:after="0" w:line="283" w:lineRule="auto"/>
        <w:tabs>
          <w:tab w:leader="none" w:pos="20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 2026, the One Uptown Office Venture entered into the extension option for its loan with the existing lenders. The maturity of the One Uptown Office loan was extended until July 29, 2028, and the total loan capacity was reduced from $121.7 million to $108.9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CRITICAL ACCOUNTING POLICIES AND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consolidated financial statements, which have been prepared in accordance with GAAP. The preparation of these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revenues and expenses for the reporting periods. Certain accounting policies are considered to be critical accounting policies, as they require management to make assumptions about matters that are highly uncertain at the time the estimate is made and changes in the accounting estimate are reasonably likely to occur from period to period. Management bases its estimates and assumptions on historical experience and current economic conditions.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2025 contains a discussion of our critical accounting policies. There have been no significant changes in our critical accounting policies since December 31,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is based on our consolidated financial statements for the three and nine months ended September 30, 2026 and 2025. We believe that presentation of our consolidated financial information, without a breakdown by segment, will effectively present important information useful to our investors.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NOI as presented in the comparative analysis below is a non-GAAP financial measure defined as total revenue less property operating expenses, real estate taxes and third party management expenses. Property operating expenses that are included in determining NOI consist of costs that are necessary and allocable to our operating properties such as utilities, property-level salaries, repairs and maintenance, property insurance, and management fees. General and administrative expenses that are not reflected in NOI primarily consist of corporate-level salaries, amortization of share awards and professional fees that are incurred as part of corporate office management. NOI is a non-GAAP financial measure that we use internally to evaluate the operating performance of our real estate assets by segment, as presented in Note 13, “Segment Information,” to our Consolidated Financial Statements, and of our business as a whole. We believe NOI provides useful information to investors regarding our financial condition and results of operations because it reflects only those income and expense items that are incurred at the property level. While NOI is a relevant and widely used measure of operating performance of real estate investment trusts, it does not represent cash flow from operations or net income as defined by GAAP and should not be considered as an alternative to those measures in evaluating our liquidity or operating performance. NOI does not reflect interest expenses, real estate impairment, depreciation and amortization costs, capital expenditures and leasing costs. We believe that net income (loss), as defined by GAAP, is the most appropriate earnings measure. See Note 13, “Segment Information,” to our consolidated financial statements for a reconciliation of NOI to our consolidated net income (loss) as defined by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Comparison of the Three Months Ended September 30, 2026 and September 30, 2025</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comparison of the three months ended September 30, 2026 to the three months ended September 30, 2025 makes reference to the effect of the following:</w:t>
      </w:r>
    </w:p>
    <w:p>
      <w:pPr>
        <w:spacing w:after="0" w:line="162" w:lineRule="exact"/>
        <w:rPr>
          <w:sz w:val="20"/>
          <w:szCs w:val="20"/>
          <w:color w:val="auto"/>
        </w:rPr>
      </w:pPr>
    </w:p>
    <w:p>
      <w:pPr>
        <w:jc w:val="both"/>
        <w:ind w:left="660" w:hanging="652"/>
        <w:spacing w:after="0" w:line="255"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Property Portfolio,” which represents 55 properties containing an aggregate of approximately 10.4 million net rentable square feet that we owned and consolidated for the three-month periods ended September 30, 2026 and 2025. The Same Store Property Portfolio includes properties acquired or placed in service on or prior to July 1, 2025 and owned and consolidated through September 30, 2026, excluding properties classified as held for sale;</w:t>
      </w:r>
    </w:p>
    <w:p>
      <w:pPr>
        <w:spacing w:after="0" w:line="2" w:lineRule="exact"/>
        <w:rPr>
          <w:rFonts w:ascii="Times New Roman" w:cs="Times New Roman" w:eastAsia="Times New Roman" w:hAnsi="Times New Roman"/>
          <w:sz w:val="18"/>
          <w:szCs w:val="18"/>
          <w:color w:val="auto"/>
        </w:rPr>
      </w:pPr>
    </w:p>
    <w:p>
      <w:pPr>
        <w:ind w:left="640" w:hanging="632"/>
        <w:spacing w:after="0" w:line="236"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Portfolio,” which represents all properties owned and consolidated by us during the three months ended September 30, 2026 and 2025;</w:t>
      </w:r>
    </w:p>
    <w:p>
      <w:pPr>
        <w:ind w:left="660" w:hanging="652"/>
        <w:spacing w:after="0" w:line="234"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Completed/Acquired Properties,” which represents three properties (250 King of Prussia Road, 3025 JFK - office, and 2100 Market Street) placed into service or acquired on or subsequent to July 1, 2025;</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29"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“Development/Redevelopment Properties,” which represents one property (300 Delaware Avenue) currently in development/redevelopment. A property is excluded from our Same Store Property Portfolio and moved into Development/Redevelopment Properties in the period that we determine to proceed with development/redevelopment for a future development strategy; and</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2025 through Q3 2026 Dispositions,” which represents properties disposed of from July 1, 2025 through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to the three months ended September 30, 2025</w:t>
      </w:r>
    </w:p>
    <w:p>
      <w:pPr>
        <w:spacing w:after="0" w:line="246" w:lineRule="exact"/>
        <w:rPr>
          <w:sz w:val="20"/>
          <w:szCs w:val="20"/>
          <w:color w:val="auto"/>
        </w:rPr>
      </w:pPr>
    </w:p>
    <w:tbl>
      <w:tblPr>
        <w:tblLayout w:type="fixed"/>
        <w:tblInd w:w="242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1500" w:type="dxa"/>
            <w:vAlign w:val="bottom"/>
          </w:tcPr>
          <w:p>
            <w:pPr>
              <w:jc w:val="center"/>
              <w:ind w:left="197"/>
              <w:spacing w:after="0"/>
              <w:rPr>
                <w:sz w:val="20"/>
                <w:szCs w:val="20"/>
                <w:color w:val="auto"/>
              </w:rPr>
            </w:pPr>
            <w:r>
              <w:rPr>
                <w:rFonts w:ascii="Times New Roman" w:cs="Times New Roman" w:eastAsia="Times New Roman" w:hAnsi="Times New Roman"/>
                <w:sz w:val="13"/>
                <w:szCs w:val="13"/>
                <w:color w:val="auto"/>
                <w:w w:val="95"/>
              </w:rPr>
              <w:t>Recently</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Development/Redevelopment</w:t>
            </w:r>
          </w:p>
        </w:tc>
        <w:tc>
          <w:tcPr>
            <w:tcW w:w="1540" w:type="dxa"/>
            <w:vAlign w:val="bottom"/>
            <w:vMerge w:val="restart"/>
          </w:tcPr>
          <w:p>
            <w:pPr>
              <w:jc w:val="center"/>
              <w:ind w:right="397"/>
              <w:spacing w:after="0"/>
              <w:rPr>
                <w:sz w:val="20"/>
                <w:szCs w:val="20"/>
                <w:color w:val="auto"/>
              </w:rPr>
            </w:pPr>
            <w:r>
              <w:rPr>
                <w:rFonts w:ascii="Times New Roman" w:cs="Times New Roman" w:eastAsia="Times New Roman" w:hAnsi="Times New Roman"/>
                <w:sz w:val="13"/>
                <w:szCs w:val="13"/>
                <w:color w:val="auto"/>
                <w:w w:val="94"/>
              </w:rPr>
              <w:t>Other</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1500" w:type="dxa"/>
            <w:vAlign w:val="bottom"/>
          </w:tcPr>
          <w:p>
            <w:pPr>
              <w:jc w:val="center"/>
              <w:ind w:left="217"/>
              <w:spacing w:after="0" w:line="122" w:lineRule="exact"/>
              <w:rPr>
                <w:sz w:val="20"/>
                <w:szCs w:val="20"/>
                <w:color w:val="auto"/>
              </w:rPr>
            </w:pPr>
            <w:r>
              <w:rPr>
                <w:rFonts w:ascii="Times New Roman" w:cs="Times New Roman" w:eastAsia="Times New Roman" w:hAnsi="Times New Roman"/>
                <w:sz w:val="13"/>
                <w:szCs w:val="13"/>
                <w:color w:val="auto"/>
                <w:w w:val="97"/>
              </w:rPr>
              <w:t>Completed/Acquired</w:t>
            </w:r>
          </w:p>
        </w:tc>
        <w:tc>
          <w:tcPr>
            <w:tcW w:w="16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Same Store Property Portfolio</w:t>
            </w:r>
          </w:p>
        </w:tc>
        <w:tc>
          <w:tcPr>
            <w:tcW w:w="150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4"/>
              </w:rPr>
              <w:t>Properties</w:t>
            </w: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Properties</w:t>
            </w:r>
          </w:p>
        </w:tc>
        <w:tc>
          <w:tcPr>
            <w:tcW w:w="1540" w:type="dxa"/>
            <w:vAlign w:val="bottom"/>
          </w:tcPr>
          <w:p>
            <w:pPr>
              <w:jc w:val="center"/>
              <w:ind w:right="397"/>
              <w:spacing w:after="0"/>
              <w:rPr>
                <w:sz w:val="20"/>
                <w:szCs w:val="20"/>
                <w:color w:val="auto"/>
              </w:rPr>
            </w:pPr>
            <w:r>
              <w:rPr>
                <w:rFonts w:ascii="Times New Roman" w:cs="Times New Roman" w:eastAsia="Times New Roman" w:hAnsi="Times New Roman"/>
                <w:sz w:val="13"/>
                <w:szCs w:val="13"/>
                <w:color w:val="auto"/>
                <w:w w:val="94"/>
              </w:rPr>
              <w:t>(Eliminations) (a)</w:t>
            </w:r>
          </w:p>
        </w:tc>
        <w:tc>
          <w:tcPr>
            <w:tcW w:w="1280" w:type="dxa"/>
            <w:vAlign w:val="bottom"/>
          </w:tcPr>
          <w:p>
            <w:pPr>
              <w:ind w:left="540"/>
              <w:spacing w:after="0"/>
              <w:rPr>
                <w:sz w:val="20"/>
                <w:szCs w:val="20"/>
                <w:color w:val="auto"/>
              </w:rPr>
            </w:pPr>
            <w:r>
              <w:rPr>
                <w:rFonts w:ascii="Times New Roman" w:cs="Times New Roman" w:eastAsia="Times New Roman" w:hAnsi="Times New Roman"/>
                <w:sz w:val="13"/>
                <w:szCs w:val="13"/>
                <w:color w:val="auto"/>
                <w:w w:val="93"/>
              </w:rPr>
              <w:t>Total Portfolio</w:t>
            </w: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right="300"/>
        <w:spacing w:after="0" w:line="236" w:lineRule="auto"/>
        <w:rPr>
          <w:sz w:val="20"/>
          <w:szCs w:val="20"/>
          <w:color w:val="auto"/>
        </w:rPr>
      </w:pPr>
      <w:r>
        <w:rPr>
          <w:rFonts w:ascii="Times New Roman" w:cs="Times New Roman" w:eastAsia="Times New Roman" w:hAnsi="Times New Roman"/>
          <w:sz w:val="12"/>
          <w:szCs w:val="12"/>
          <w:i w:val="1"/>
          <w:iCs w:val="1"/>
          <w:color w:val="auto"/>
        </w:rPr>
        <w:t>(dollars and square feet in millions except per share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883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Revenue: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Rents</w:t>
      </w:r>
    </w:p>
    <w:p>
      <w:pPr>
        <w:spacing w:after="0" w:line="26" w:lineRule="exact"/>
        <w:rPr>
          <w:sz w:val="20"/>
          <w:szCs w:val="20"/>
          <w:color w:val="auto"/>
        </w:rPr>
      </w:pPr>
    </w:p>
    <w:p>
      <w:pPr>
        <w:ind w:left="360"/>
        <w:spacing w:after="0" w:line="235" w:lineRule="auto"/>
        <w:rPr>
          <w:sz w:val="20"/>
          <w:szCs w:val="20"/>
          <w:color w:val="auto"/>
        </w:rPr>
      </w:pPr>
      <w:r>
        <w:rPr>
          <w:rFonts w:ascii="Times New Roman" w:cs="Times New Roman" w:eastAsia="Times New Roman" w:hAnsi="Times New Roman"/>
          <w:sz w:val="12"/>
          <w:szCs w:val="12"/>
          <w:color w:val="auto"/>
        </w:rPr>
        <w:t>Third party management fees, labor reimbursement</w:t>
      </w:r>
    </w:p>
    <w:p>
      <w:pPr>
        <w:ind w:left="360"/>
        <w:spacing w:after="0"/>
        <w:rPr>
          <w:sz w:val="20"/>
          <w:szCs w:val="20"/>
          <w:color w:val="auto"/>
        </w:rPr>
      </w:pPr>
      <w:r>
        <w:rPr>
          <w:rFonts w:ascii="Times New Roman" w:cs="Times New Roman" w:eastAsia="Times New Roman" w:hAnsi="Times New Roman"/>
          <w:sz w:val="13"/>
          <w:szCs w:val="13"/>
          <w:color w:val="auto"/>
        </w:rPr>
        <w:t>and leasing</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Other</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Total revenue</w:t>
      </w:r>
    </w:p>
    <w:p>
      <w:pPr>
        <w:spacing w:after="0" w:line="40" w:lineRule="exact"/>
        <w:rPr>
          <w:sz w:val="20"/>
          <w:szCs w:val="20"/>
          <w:color w:val="auto"/>
        </w:rPr>
      </w:pPr>
    </w:p>
    <w:p>
      <w:pPr>
        <w:ind w:left="360" w:right="360"/>
        <w:spacing w:after="0" w:line="256" w:lineRule="auto"/>
        <w:rPr>
          <w:sz w:val="20"/>
          <w:szCs w:val="20"/>
          <w:color w:val="auto"/>
        </w:rPr>
      </w:pPr>
      <w:r>
        <w:rPr>
          <w:rFonts w:ascii="Times New Roman" w:cs="Times New Roman" w:eastAsia="Times New Roman" w:hAnsi="Times New Roman"/>
          <w:sz w:val="12"/>
          <w:szCs w:val="12"/>
          <w:color w:val="auto"/>
        </w:rPr>
        <w:t>Property operating expenses</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Real estate taxes</w:t>
      </w:r>
    </w:p>
    <w:p>
      <w:pPr>
        <w:spacing w:after="0" w:line="26" w:lineRule="exact"/>
        <w:rPr>
          <w:sz w:val="20"/>
          <w:szCs w:val="20"/>
          <w:color w:val="auto"/>
        </w:rPr>
      </w:pPr>
    </w:p>
    <w:p>
      <w:pPr>
        <w:ind w:left="360" w:right="60"/>
        <w:spacing w:after="0" w:line="229" w:lineRule="auto"/>
        <w:rPr>
          <w:sz w:val="20"/>
          <w:szCs w:val="20"/>
          <w:color w:val="auto"/>
        </w:rPr>
      </w:pPr>
      <w:r>
        <w:rPr>
          <w:rFonts w:ascii="Times New Roman" w:cs="Times New Roman" w:eastAsia="Times New Roman" w:hAnsi="Times New Roman"/>
          <w:sz w:val="13"/>
          <w:szCs w:val="13"/>
          <w:color w:val="auto"/>
        </w:rPr>
        <w:t>Third party management expenses</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Net operating income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Depreciation and</w:t>
      </w:r>
    </w:p>
    <w:p>
      <w:pPr>
        <w:ind w:left="360"/>
        <w:spacing w:after="0"/>
        <w:rPr>
          <w:sz w:val="20"/>
          <w:szCs w:val="20"/>
          <w:color w:val="auto"/>
        </w:rPr>
      </w:pPr>
      <w:r>
        <w:rPr>
          <w:rFonts w:ascii="Times New Roman" w:cs="Times New Roman" w:eastAsia="Times New Roman" w:hAnsi="Times New Roman"/>
          <w:sz w:val="13"/>
          <w:szCs w:val="13"/>
          <w:color w:val="auto"/>
        </w:rPr>
        <w:t>amortization</w:t>
      </w:r>
    </w:p>
    <w:p>
      <w:pPr>
        <w:spacing w:after="0" w:line="26" w:lineRule="exact"/>
        <w:rPr>
          <w:sz w:val="20"/>
          <w:szCs w:val="20"/>
          <w:color w:val="auto"/>
        </w:rPr>
      </w:pPr>
    </w:p>
    <w:p>
      <w:pPr>
        <w:ind w:left="360" w:right="40"/>
        <w:spacing w:after="0" w:line="229" w:lineRule="auto"/>
        <w:rPr>
          <w:sz w:val="20"/>
          <w:szCs w:val="20"/>
          <w:color w:val="auto"/>
        </w:rPr>
      </w:pPr>
      <w:r>
        <w:rPr>
          <w:rFonts w:ascii="Times New Roman" w:cs="Times New Roman" w:eastAsia="Times New Roman" w:hAnsi="Times New Roman"/>
          <w:sz w:val="13"/>
          <w:szCs w:val="13"/>
          <w:color w:val="auto"/>
        </w:rPr>
        <w:t>General &amp; administrative expenses</w:t>
      </w:r>
    </w:p>
    <w:p>
      <w:pPr>
        <w:spacing w:after="0" w:line="25" w:lineRule="exact"/>
        <w:rPr>
          <w:sz w:val="20"/>
          <w:szCs w:val="20"/>
          <w:color w:val="auto"/>
        </w:rPr>
      </w:pPr>
    </w:p>
    <w:p>
      <w:pPr>
        <w:ind w:left="360" w:right="40"/>
        <w:spacing w:after="0" w:line="229" w:lineRule="auto"/>
        <w:rPr>
          <w:sz w:val="20"/>
          <w:szCs w:val="20"/>
          <w:color w:val="auto"/>
        </w:rPr>
      </w:pPr>
      <w:r>
        <w:rPr>
          <w:rFonts w:ascii="Times New Roman" w:cs="Times New Roman" w:eastAsia="Times New Roman" w:hAnsi="Times New Roman"/>
          <w:sz w:val="13"/>
          <w:szCs w:val="13"/>
          <w:color w:val="auto"/>
        </w:rPr>
        <w:t>Provision for impairment (c)</w:t>
      </w:r>
    </w:p>
    <w:p>
      <w:pPr>
        <w:spacing w:after="0" w:line="25" w:lineRule="exact"/>
        <w:rPr>
          <w:sz w:val="20"/>
          <w:szCs w:val="20"/>
          <w:color w:val="auto"/>
        </w:rPr>
      </w:pPr>
    </w:p>
    <w:p>
      <w:pPr>
        <w:ind w:left="360"/>
        <w:spacing w:after="0" w:line="229" w:lineRule="auto"/>
        <w:rPr>
          <w:sz w:val="20"/>
          <w:szCs w:val="20"/>
          <w:color w:val="auto"/>
        </w:rPr>
      </w:pPr>
      <w:r>
        <w:rPr>
          <w:rFonts w:ascii="Times New Roman" w:cs="Times New Roman" w:eastAsia="Times New Roman" w:hAnsi="Times New Roman"/>
          <w:sz w:val="13"/>
          <w:szCs w:val="13"/>
          <w:color w:val="auto"/>
        </w:rPr>
        <w:t>Net gain on disposition of real estate</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Operating income (loss)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Number of properties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Square feet</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Same Store Occupancy % (b)</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Income (Expense):</w:t>
      </w:r>
    </w:p>
    <w:p>
      <w:pPr>
        <w:spacing w:after="0" w:line="26" w:lineRule="exact"/>
        <w:rPr>
          <w:sz w:val="20"/>
          <w:szCs w:val="20"/>
          <w:color w:val="auto"/>
        </w:rPr>
      </w:pPr>
    </w:p>
    <w:p>
      <w:pPr>
        <w:ind w:left="360" w:right="140"/>
        <w:spacing w:after="0" w:line="229" w:lineRule="auto"/>
        <w:rPr>
          <w:sz w:val="20"/>
          <w:szCs w:val="20"/>
          <w:color w:val="auto"/>
        </w:rPr>
      </w:pPr>
      <w:r>
        <w:rPr>
          <w:rFonts w:ascii="Times New Roman" w:cs="Times New Roman" w:eastAsia="Times New Roman" w:hAnsi="Times New Roman"/>
          <w:sz w:val="13"/>
          <w:szCs w:val="13"/>
          <w:color w:val="auto"/>
        </w:rPr>
        <w:t>Interest and investment income</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Interest expense</w:t>
      </w:r>
    </w:p>
    <w:p>
      <w:pPr>
        <w:spacing w:after="0" w:line="26" w:lineRule="exact"/>
        <w:rPr>
          <w:sz w:val="20"/>
          <w:szCs w:val="20"/>
          <w:color w:val="auto"/>
        </w:rPr>
      </w:pPr>
    </w:p>
    <w:p>
      <w:pPr>
        <w:ind w:left="360" w:right="80"/>
        <w:spacing w:after="0" w:line="256" w:lineRule="auto"/>
        <w:rPr>
          <w:sz w:val="20"/>
          <w:szCs w:val="20"/>
          <w:color w:val="auto"/>
        </w:rPr>
      </w:pPr>
      <w:r>
        <w:rPr>
          <w:rFonts w:ascii="Times New Roman" w:cs="Times New Roman" w:eastAsia="Times New Roman" w:hAnsi="Times New Roman"/>
          <w:sz w:val="12"/>
          <w:szCs w:val="12"/>
          <w:color w:val="auto"/>
        </w:rPr>
        <w:t>Interest expense — Deferred financing costs</w:t>
      </w:r>
    </w:p>
    <w:p>
      <w:pPr>
        <w:spacing w:after="0" w:line="16" w:lineRule="exact"/>
        <w:rPr>
          <w:sz w:val="20"/>
          <w:szCs w:val="20"/>
          <w:color w:val="auto"/>
        </w:rPr>
      </w:pPr>
    </w:p>
    <w:p>
      <w:pPr>
        <w:ind w:left="360"/>
        <w:spacing w:after="0" w:line="235" w:lineRule="auto"/>
        <w:rPr>
          <w:sz w:val="20"/>
          <w:szCs w:val="20"/>
          <w:color w:val="auto"/>
        </w:rPr>
      </w:pPr>
      <w:r>
        <w:rPr>
          <w:rFonts w:ascii="Times New Roman" w:cs="Times New Roman" w:eastAsia="Times New Roman" w:hAnsi="Times New Roman"/>
          <w:sz w:val="12"/>
          <w:szCs w:val="12"/>
          <w:color w:val="auto"/>
        </w:rPr>
        <w:t>Equity in loss of unconsolidated real estate</w:t>
      </w:r>
    </w:p>
    <w:p>
      <w:pPr>
        <w:ind w:left="360"/>
        <w:spacing w:after="0"/>
        <w:rPr>
          <w:sz w:val="20"/>
          <w:szCs w:val="20"/>
          <w:color w:val="auto"/>
        </w:rPr>
      </w:pPr>
      <w:r>
        <w:rPr>
          <w:rFonts w:ascii="Times New Roman" w:cs="Times New Roman" w:eastAsia="Times New Roman" w:hAnsi="Times New Roman"/>
          <w:sz w:val="13"/>
          <w:szCs w:val="13"/>
          <w:color w:val="auto"/>
        </w:rPr>
        <w:t>ventures</w:t>
      </w:r>
    </w:p>
    <w:p>
      <w:pPr>
        <w:spacing w:after="0" w:line="12" w:lineRule="exact"/>
        <w:rPr>
          <w:sz w:val="20"/>
          <w:szCs w:val="20"/>
          <w:color w:val="auto"/>
        </w:rPr>
      </w:pPr>
    </w:p>
    <w:p>
      <w:pPr>
        <w:ind w:left="360" w:right="140"/>
        <w:spacing w:after="0" w:line="256" w:lineRule="auto"/>
        <w:rPr>
          <w:sz w:val="20"/>
          <w:szCs w:val="20"/>
          <w:color w:val="auto"/>
        </w:rPr>
      </w:pPr>
      <w:r>
        <w:rPr>
          <w:rFonts w:ascii="Times New Roman" w:cs="Times New Roman" w:eastAsia="Times New Roman" w:hAnsi="Times New Roman"/>
          <w:sz w:val="12"/>
          <w:szCs w:val="12"/>
          <w:color w:val="auto"/>
        </w:rPr>
        <w:t>Loss on early extinguishment of debt</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Net loss</w:t>
      </w:r>
    </w:p>
    <w:p>
      <w:pPr>
        <w:spacing w:after="0" w:line="53" w:lineRule="exact"/>
        <w:rPr>
          <w:sz w:val="20"/>
          <w:szCs w:val="20"/>
          <w:color w:val="auto"/>
        </w:rPr>
      </w:pPr>
    </w:p>
    <w:p>
      <w:pPr>
        <w:ind w:left="140" w:right="220"/>
        <w:spacing w:after="0" w:line="235" w:lineRule="auto"/>
        <w:rPr>
          <w:sz w:val="20"/>
          <w:szCs w:val="20"/>
          <w:color w:val="auto"/>
        </w:rPr>
      </w:pPr>
      <w:r>
        <w:rPr>
          <w:rFonts w:ascii="Times New Roman" w:cs="Times New Roman" w:eastAsia="Times New Roman" w:hAnsi="Times New Roman"/>
          <w:sz w:val="12"/>
          <w:szCs w:val="12"/>
          <w:color w:val="auto"/>
        </w:rPr>
        <w:t>Net loss attributable to Common Shareholders of</w:t>
      </w:r>
    </w:p>
    <w:p>
      <w:pPr>
        <w:ind w:left="140"/>
        <w:spacing w:after="0"/>
        <w:rPr>
          <w:sz w:val="20"/>
          <w:szCs w:val="20"/>
          <w:color w:val="auto"/>
        </w:rPr>
      </w:pPr>
      <w:r>
        <w:rPr>
          <w:rFonts w:ascii="Times New Roman" w:cs="Times New Roman" w:eastAsia="Times New Roman" w:hAnsi="Times New Roman"/>
          <w:sz w:val="13"/>
          <w:szCs w:val="13"/>
          <w:color w:val="auto"/>
        </w:rPr>
        <w:t>Brandywine Realty Trust</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Change</w:t>
            </w:r>
          </w:p>
        </w:tc>
        <w:tc>
          <w:tcPr>
            <w:tcW w:w="100" w:type="dxa"/>
            <w:vAlign w:val="bottom"/>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 Change</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9"/>
              </w:rPr>
              <w:t>2026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2"/>
              </w:rPr>
              <w:t>2025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2026</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2"/>
              </w:rPr>
              <w:t>2026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2"/>
              </w:rPr>
              <w:t>2025</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Change</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 Change</w:t>
            </w:r>
          </w:p>
        </w:tc>
        <w:tc>
          <w:tcPr>
            <w:tcW w:w="120" w:type="dxa"/>
            <w:vAlign w:val="bottom"/>
            <w:tcBorders>
              <w:bottom w:val="single" w:sz="8" w:color="auto"/>
            </w:tcBorders>
          </w:tcPr>
          <w:p>
            <w:pPr>
              <w:spacing w:after="0"/>
              <w:rPr>
                <w:sz w:val="15"/>
                <w:szCs w:val="15"/>
                <w:color w:val="auto"/>
              </w:rPr>
            </w:pPr>
          </w:p>
        </w:tc>
      </w:tr>
      <w:tr>
        <w:trPr>
          <w:trHeight w:val="335"/>
        </w:trPr>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99.8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97.4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432"/>
        </w:trPr>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85"/>
        </w:trPr>
        <w:tc>
          <w:tcPr>
            <w:tcW w:w="120" w:type="dxa"/>
            <w:vAlign w:val="bottom"/>
          </w:tcPr>
          <w:p>
            <w:pPr>
              <w:spacing w:after="0"/>
              <w:rPr>
                <w:sz w:val="16"/>
                <w:szCs w:val="16"/>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42.9 %</w:t>
            </w:r>
          </w:p>
        </w:tc>
      </w:tr>
      <w:tr>
        <w:trPr>
          <w:trHeight w:val="164"/>
        </w:trPr>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100.1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97.6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306"/>
        </w:trPr>
        <w:tc>
          <w:tcPr>
            <w:tcW w:w="120" w:type="dxa"/>
            <w:vAlign w:val="bottom"/>
          </w:tcPr>
          <w:p>
            <w:pPr>
              <w:spacing w:after="0"/>
              <w:rPr>
                <w:sz w:val="24"/>
                <w:szCs w:val="24"/>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176"/>
        </w:trPr>
        <w:tc>
          <w:tcPr>
            <w:tcW w:w="120" w:type="dxa"/>
            <w:vAlign w:val="bottom"/>
          </w:tcPr>
          <w:p>
            <w:pPr>
              <w:spacing w:after="0"/>
              <w:rPr>
                <w:sz w:val="15"/>
                <w:szCs w:val="15"/>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320"/>
        </w:trPr>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(20.8)%</w:t>
            </w:r>
          </w:p>
        </w:tc>
      </w:tr>
      <w:tr>
        <w:trPr>
          <w:trHeight w:val="164"/>
        </w:trPr>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62.5</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61.9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306"/>
        </w:trPr>
        <w:tc>
          <w:tcPr>
            <w:tcW w:w="120" w:type="dxa"/>
            <w:vAlign w:val="bottom"/>
          </w:tcPr>
          <w:p>
            <w:pPr>
              <w:spacing w:after="0"/>
              <w:rPr>
                <w:sz w:val="24"/>
                <w:szCs w:val="24"/>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310"/>
        </w:trPr>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2.6 %</w:t>
            </w:r>
          </w:p>
        </w:tc>
      </w:tr>
      <w:tr>
        <w:trPr>
          <w:trHeight w:val="311"/>
        </w:trPr>
        <w:tc>
          <w:tcPr>
            <w:tcW w:w="12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320"/>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4"/>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171"/>
        </w:trPr>
        <w:tc>
          <w:tcPr>
            <w:tcW w:w="12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20" w:type="dxa"/>
            <w:vAlign w:val="bottom"/>
          </w:tcPr>
          <w:p>
            <w:pPr>
              <w:spacing w:after="0"/>
              <w:rPr>
                <w:sz w:val="15"/>
                <w:szCs w:val="15"/>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486"/>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(41.7)%</w:t>
            </w:r>
          </w:p>
        </w:tc>
      </w:tr>
      <w:tr>
        <w:trPr>
          <w:trHeight w:val="175"/>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r>
      <w:tr>
        <w:trPr>
          <w:trHeight w:val="310"/>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432"/>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320"/>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75"/>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392"/>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-1149985</wp:posOffset>
            </wp:positionH>
            <wp:positionV relativeFrom="paragraph">
              <wp:posOffset>-3994150</wp:posOffset>
            </wp:positionV>
            <wp:extent cx="7132320" cy="111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-3608070</wp:posOffset>
            </wp:positionV>
            <wp:extent cx="7132320" cy="111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-3376930</wp:posOffset>
            </wp:positionV>
            <wp:extent cx="7132320"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-3068320</wp:posOffset>
            </wp:positionV>
            <wp:extent cx="713232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-2750820</wp:posOffset>
            </wp:positionV>
            <wp:extent cx="7132320" cy="196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-2356485</wp:posOffset>
            </wp:positionV>
            <wp:extent cx="7132320"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-1962150</wp:posOffset>
            </wp:positionV>
            <wp:extent cx="7132320"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-1731010</wp:posOffset>
            </wp:positionV>
            <wp:extent cx="7132320"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-1508125</wp:posOffset>
            </wp:positionV>
            <wp:extent cx="7132320"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-1199515</wp:posOffset>
            </wp:positionV>
            <wp:extent cx="7132320" cy="111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-890905</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-1149985</wp:posOffset>
            </wp:positionH>
            <wp:positionV relativeFrom="paragraph">
              <wp:posOffset>-419100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-4388485</wp:posOffset>
            </wp:positionV>
            <wp:extent cx="59836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1660" w:space="160"/>
            <w:col w:w="9420"/>
          </w:cols>
          <w:pgMar w:left="320" w:top="121" w:right="339" w:bottom="1440" w:gutter="0" w:footer="0" w:header="0"/>
          <w:type w:val="continuous"/>
        </w:sectPr>
      </w:pPr>
    </w:p>
    <w:p>
      <w:pPr>
        <w:jc w:val="both"/>
        <w:ind w:left="660" w:hanging="652"/>
        <w:spacing w:after="0" w:line="242" w:lineRule="auto"/>
        <w:tabs>
          <w:tab w:leader="none" w:pos="65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certain revenues and expenses at the corporate level as well as various intercompany costs that are eliminated in consolidation, third-party management fees, provisions for impairment, and changes in the accrued rent receivable allowance. Other/(Eliminations) also includes properties sold and properties classified as held for sale, the parking operations of predevelopment projects, the hotel located in Radnor, Pennsylvania, the residential and retail components within University City in Philadelphia, Pennsylvania, the restaurant component of Cira Centre, the B.Labs incubator and normal intercompany eliminating entries.</w:t>
      </w:r>
    </w:p>
    <w:p>
      <w:pPr>
        <w:spacing w:after="0" w:line="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Pertains to Same Store Properties.</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Held for use and held for sale impairment charges are excluded from Same Store Property Portfolio operating income and presented in Other (Eliminations).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Rents increased primarily as a result of the following:</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million increase due to the consolidation of 3025 JFK Venture and 3151 Market Street Venture in the fourth quarter of 2025;</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increase related to 155 King of Prussia Road, Radnor, PA and 250 King of Prussia Road, Radnor, PA, which were both Recently Completed/Acquired Properties in 2025, but stabilized in the first quarter of 2026 and the second quarter of 2026, respectively;</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increase due to the opening of the hotel in Radnor, Pennsylvania in the second quarter of 2026;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$7.8 million decrease due to the sale of Four Barton Skyway, Austin, TX in the second quarter of 2025, the sale of Six Tower Bridge, Conshohocken, PA in the second quarter of 2026, and the sales of 500 North Gulph Road, King of Prussia, PA, 405 Colorado, Austin, TX, and 8260 Greensboro Drive and 1676 International Drive, McLean, VA in the third quarter of 2026.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Operating Expense increased primarily as a result of the following:</w:t>
      </w:r>
    </w:p>
    <w:p>
      <w:pPr>
        <w:spacing w:after="0" w:line="17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increase due to the consolidation of 3025 JFK Venture and 3151 Market Street Venture in the fourth quarter of 2025;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million increase due to higher utilities cost and operating cost in the third quarter of 2026 compared to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increase due to the opening of the hotel in Radnor, Pennsylvania in the second quarter of 2026;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$1.6 million decrease due to the sale of Four Barton Skyway, Austin, TX in the second quarter of 2025, the sale of Six Tower Bridge, Conshohocken, PA in the second quarter of 2026, and the sales of 500 North Gulph Road, King of Prussia, PA, 405 Colorado, Austin, TX, and 8260 Greensboro Drive and 1676 International Drive, McLean, VA in the third quarter of 2026.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Impairment</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third quarter of 2026, the Company recognized a $29.1 million impairment on the office building at 3151 Market Street, Philadelphia, PA, prior to its sale. The Company did not recognize any impairment during the third quarter of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gain on disposition of real estate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2026, the Company recognized $55.7 million of net gain on disposition of real estate from the sales of 500 North Gulph Road, King of Prussia, PA, 405 Colorado, Austin, TX, and 8260 Greensboro Drive and 1676 International Drive, McLean, VA in the third quarter of 2026. The Company did not recognize any net gain on disposition of real estate during the third quarter of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increased by approximately $6.1 million for the quarter ended September 30, 2026 compared to 2025, as detailed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Component</w:t>
            </w:r>
          </w:p>
        </w:tc>
        <w:tc>
          <w:tcPr>
            <w:tcW w:w="80" w:type="dxa"/>
            <w:vAlign w:val="bottom"/>
            <w:shd w:val="clear" w:color="auto" w:fill="CCEEFF"/>
          </w:tcPr>
          <w:p>
            <w:pPr>
              <w:spacing w:after="0"/>
              <w:rPr>
                <w:sz w:val="12"/>
                <w:szCs w:val="12"/>
                <w:color w:val="auto"/>
              </w:rPr>
            </w:pPr>
          </w:p>
        </w:tc>
        <w:tc>
          <w:tcPr>
            <w:tcW w:w="46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w w:val="96"/>
              </w:rPr>
              <w:t>Change in interest expense for the quarter ended September 30, 2026 compared to September 30,</w:t>
            </w:r>
          </w:p>
        </w:tc>
        <w:tc>
          <w:tcPr>
            <w:tcW w:w="0" w:type="dxa"/>
            <w:vAlign w:val="bottom"/>
          </w:tcPr>
          <w:p>
            <w:pPr>
              <w:spacing w:after="0"/>
              <w:rPr>
                <w:sz w:val="1"/>
                <w:szCs w:val="1"/>
                <w:color w:val="auto"/>
              </w:rPr>
            </w:pPr>
          </w:p>
        </w:tc>
      </w:tr>
      <w:tr>
        <w:trPr>
          <w:trHeight w:val="157"/>
        </w:trPr>
        <w:tc>
          <w:tcPr>
            <w:tcW w:w="6480" w:type="dxa"/>
            <w:vAlign w:val="bottom"/>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20" w:type="dxa"/>
            <w:vAlign w:val="bottom"/>
            <w:tcBorders>
              <w:bottom w:val="single" w:sz="8" w:color="auto"/>
            </w:tcBorders>
            <w:shd w:val="clear" w:color="auto" w:fill="CCEEFF"/>
          </w:tcPr>
          <w:p>
            <w:pPr>
              <w:jc w:val="right"/>
              <w:ind w:right="1842"/>
              <w:spacing w:after="0"/>
              <w:rPr>
                <w:sz w:val="20"/>
                <w:szCs w:val="20"/>
                <w:color w:val="auto"/>
              </w:rPr>
            </w:pPr>
            <w:r>
              <w:rPr>
                <w:rFonts w:ascii="Times New Roman" w:cs="Times New Roman" w:eastAsia="Times New Roman" w:hAnsi="Times New Roman"/>
                <w:sz w:val="12"/>
                <w:szCs w:val="12"/>
                <w:color w:val="auto"/>
              </w:rPr>
              <w:t>2025 (in thousands)</w:t>
            </w:r>
          </w:p>
        </w:tc>
        <w:tc>
          <w:tcPr>
            <w:tcW w:w="0" w:type="dxa"/>
            <w:vAlign w:val="bottom"/>
          </w:tcPr>
          <w:p>
            <w:pPr>
              <w:spacing w:after="0"/>
              <w:rPr>
                <w:sz w:val="1"/>
                <w:szCs w:val="1"/>
                <w:color w:val="auto"/>
              </w:rPr>
            </w:pPr>
          </w:p>
        </w:tc>
      </w:tr>
      <w:tr>
        <w:trPr>
          <w:trHeight w:val="136"/>
        </w:trPr>
        <w:tc>
          <w:tcPr>
            <w:tcW w:w="648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Increases to interest expense due to:</w:t>
            </w:r>
          </w:p>
        </w:tc>
        <w:tc>
          <w:tcPr>
            <w:tcW w:w="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Issuance of $300 million aggregate principal amount of our 6.125% Guaranteed Notes due 2031</w:t>
            </w:r>
          </w:p>
        </w:tc>
        <w:tc>
          <w:tcPr>
            <w:tcW w:w="80" w:type="dxa"/>
            <w:vAlign w:val="bottom"/>
            <w:tcBorders>
              <w:bottom w:val="single" w:sz="8" w:color="CCEEFF"/>
            </w:tcBorders>
            <w:shd w:val="clear" w:color="auto" w:fill="CCEEFF"/>
          </w:tcPr>
          <w:p>
            <w:pPr>
              <w:spacing w:after="0"/>
              <w:rPr>
                <w:sz w:val="13"/>
                <w:szCs w:val="13"/>
                <w:color w:val="auto"/>
              </w:rPr>
            </w:pPr>
          </w:p>
        </w:tc>
        <w:tc>
          <w:tcPr>
            <w:tcW w:w="4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4,594</w:t>
            </w:r>
          </w:p>
        </w:tc>
        <w:tc>
          <w:tcPr>
            <w:tcW w:w="0" w:type="dxa"/>
            <w:vAlign w:val="bottom"/>
          </w:tcPr>
          <w:p>
            <w:pPr>
              <w:spacing w:after="0"/>
              <w:rPr>
                <w:sz w:val="1"/>
                <w:szCs w:val="1"/>
                <w:color w:val="auto"/>
              </w:rPr>
            </w:pPr>
          </w:p>
        </w:tc>
      </w:tr>
      <w:tr>
        <w:trPr>
          <w:trHeight w:val="155"/>
        </w:trPr>
        <w:tc>
          <w:tcPr>
            <w:tcW w:w="64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$57.3 million Commercial Property Assessed Clean Energy (“C-PACE”)</w:t>
            </w:r>
          </w:p>
        </w:tc>
        <w:tc>
          <w:tcPr>
            <w:tcW w:w="80" w:type="dxa"/>
            <w:vAlign w:val="bottom"/>
          </w:tcPr>
          <w:p>
            <w:pPr>
              <w:spacing w:after="0"/>
              <w:rPr>
                <w:sz w:val="13"/>
                <w:szCs w:val="13"/>
                <w:color w:val="auto"/>
              </w:rPr>
            </w:pPr>
          </w:p>
        </w:tc>
        <w:tc>
          <w:tcPr>
            <w:tcW w:w="4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1,087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$90 million secured term loan at Avira</w:t>
            </w:r>
          </w:p>
        </w:tc>
        <w:tc>
          <w:tcPr>
            <w:tcW w:w="80" w:type="dxa"/>
            <w:vAlign w:val="bottom"/>
            <w:tcBorders>
              <w:bottom w:val="single" w:sz="8" w:color="CCEEFF"/>
            </w:tcBorders>
            <w:shd w:val="clear" w:color="auto" w:fill="CCEEFF"/>
          </w:tcPr>
          <w:p>
            <w:pPr>
              <w:spacing w:after="0"/>
              <w:rPr>
                <w:sz w:val="13"/>
                <w:szCs w:val="13"/>
                <w:color w:val="auto"/>
              </w:rPr>
            </w:pPr>
          </w:p>
        </w:tc>
        <w:tc>
          <w:tcPr>
            <w:tcW w:w="4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1,330</w:t>
            </w:r>
          </w:p>
        </w:tc>
        <w:tc>
          <w:tcPr>
            <w:tcW w:w="0" w:type="dxa"/>
            <w:vAlign w:val="bottom"/>
          </w:tcPr>
          <w:p>
            <w:pPr>
              <w:spacing w:after="0"/>
              <w:rPr>
                <w:sz w:val="1"/>
                <w:szCs w:val="1"/>
                <w:color w:val="auto"/>
              </w:rPr>
            </w:pPr>
          </w:p>
        </w:tc>
      </w:tr>
      <w:tr>
        <w:trPr>
          <w:trHeight w:val="165"/>
        </w:trPr>
        <w:tc>
          <w:tcPr>
            <w:tcW w:w="64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Decrease in capitalized interest on 3151 Market Street Venture</w:t>
            </w:r>
          </w:p>
        </w:tc>
        <w:tc>
          <w:tcPr>
            <w:tcW w:w="80" w:type="dxa"/>
            <w:vAlign w:val="bottom"/>
          </w:tcPr>
          <w:p>
            <w:pPr>
              <w:spacing w:after="0"/>
              <w:rPr>
                <w:sz w:val="14"/>
                <w:szCs w:val="14"/>
                <w:color w:val="auto"/>
              </w:rPr>
            </w:pPr>
          </w:p>
        </w:tc>
        <w:tc>
          <w:tcPr>
            <w:tcW w:w="4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2,909</w:t>
            </w:r>
          </w:p>
        </w:tc>
        <w:tc>
          <w:tcPr>
            <w:tcW w:w="0" w:type="dxa"/>
            <w:vAlign w:val="bottom"/>
          </w:tcPr>
          <w:p>
            <w:pPr>
              <w:spacing w:after="0"/>
              <w:rPr>
                <w:sz w:val="1"/>
                <w:szCs w:val="1"/>
                <w:color w:val="auto"/>
              </w:rPr>
            </w:pPr>
          </w:p>
        </w:tc>
      </w:tr>
      <w:tr>
        <w:trPr>
          <w:trHeight w:val="166"/>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Other interest expense</w:t>
            </w:r>
          </w:p>
        </w:tc>
        <w:tc>
          <w:tcPr>
            <w:tcW w:w="80" w:type="dxa"/>
            <w:vAlign w:val="bottom"/>
            <w:tcBorders>
              <w:bottom w:val="single" w:sz="8" w:color="CCEEFF"/>
            </w:tcBorders>
            <w:shd w:val="clear" w:color="auto" w:fill="CCEEFF"/>
          </w:tcPr>
          <w:p>
            <w:pPr>
              <w:spacing w:after="0"/>
              <w:rPr>
                <w:sz w:val="14"/>
                <w:szCs w:val="14"/>
                <w:color w:val="auto"/>
              </w:rPr>
            </w:pPr>
          </w:p>
        </w:tc>
        <w:tc>
          <w:tcPr>
            <w:tcW w:w="4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977</w:t>
            </w:r>
          </w:p>
        </w:tc>
        <w:tc>
          <w:tcPr>
            <w:tcW w:w="0" w:type="dxa"/>
            <w:vAlign w:val="bottom"/>
          </w:tcPr>
          <w:p>
            <w:pPr>
              <w:spacing w:after="0"/>
              <w:rPr>
                <w:sz w:val="1"/>
                <w:szCs w:val="1"/>
                <w:color w:val="auto"/>
              </w:rPr>
            </w:pPr>
          </w:p>
        </w:tc>
      </w:tr>
      <w:tr>
        <w:trPr>
          <w:trHeight w:val="166"/>
        </w:trPr>
        <w:tc>
          <w:tcPr>
            <w:tcW w:w="6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increases to interest expense</w:t>
            </w:r>
          </w:p>
        </w:tc>
        <w:tc>
          <w:tcPr>
            <w:tcW w:w="80" w:type="dxa"/>
            <w:vAlign w:val="bottom"/>
          </w:tcPr>
          <w:p>
            <w:pPr>
              <w:spacing w:after="0"/>
              <w:rPr>
                <w:sz w:val="14"/>
                <w:szCs w:val="14"/>
                <w:color w:val="auto"/>
              </w:rPr>
            </w:pPr>
          </w:p>
        </w:tc>
        <w:tc>
          <w:tcPr>
            <w:tcW w:w="4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10,897</w:t>
            </w:r>
          </w:p>
        </w:tc>
        <w:tc>
          <w:tcPr>
            <w:tcW w:w="0" w:type="dxa"/>
            <w:vAlign w:val="bottom"/>
          </w:tcPr>
          <w:p>
            <w:pPr>
              <w:spacing w:after="0"/>
              <w:rPr>
                <w:sz w:val="1"/>
                <w:szCs w:val="1"/>
                <w:color w:val="auto"/>
              </w:rPr>
            </w:pPr>
          </w:p>
        </w:tc>
      </w:tr>
      <w:tr>
        <w:trPr>
          <w:trHeight w:val="16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Decreases to interest expense due to:</w:t>
            </w:r>
          </w:p>
        </w:tc>
        <w:tc>
          <w:tcPr>
            <w:tcW w:w="80" w:type="dxa"/>
            <w:vAlign w:val="bottom"/>
            <w:tcBorders>
              <w:bottom w:val="single" w:sz="8" w:color="CCEEFF"/>
            </w:tcBorders>
            <w:shd w:val="clear" w:color="auto" w:fill="CCEEFF"/>
          </w:tcPr>
          <w:p>
            <w:pPr>
              <w:spacing w:after="0"/>
              <w:rPr>
                <w:sz w:val="14"/>
                <w:szCs w:val="14"/>
                <w:color w:val="auto"/>
              </w:rPr>
            </w:pPr>
          </w:p>
        </w:tc>
        <w:tc>
          <w:tcPr>
            <w:tcW w:w="46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Repayment of $50 million Construction Loan due 2026</w:t>
            </w:r>
          </w:p>
        </w:tc>
        <w:tc>
          <w:tcPr>
            <w:tcW w:w="80" w:type="dxa"/>
            <w:vAlign w:val="bottom"/>
          </w:tcPr>
          <w:p>
            <w:pPr>
              <w:spacing w:after="0"/>
              <w:rPr>
                <w:sz w:val="13"/>
                <w:szCs w:val="13"/>
                <w:color w:val="auto"/>
              </w:rPr>
            </w:pPr>
          </w:p>
        </w:tc>
        <w:tc>
          <w:tcPr>
            <w:tcW w:w="4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Repayment of the $245 million Secured Term Loan due 2028</w:t>
            </w:r>
          </w:p>
        </w:tc>
        <w:tc>
          <w:tcPr>
            <w:tcW w:w="80" w:type="dxa"/>
            <w:vAlign w:val="bottom"/>
            <w:tcBorders>
              <w:bottom w:val="single" w:sz="8" w:color="CCEEFF"/>
            </w:tcBorders>
            <w:shd w:val="clear" w:color="auto" w:fill="CCEEFF"/>
          </w:tcPr>
          <w:p>
            <w:pPr>
              <w:spacing w:after="0"/>
              <w:rPr>
                <w:sz w:val="13"/>
                <w:szCs w:val="13"/>
                <w:color w:val="auto"/>
              </w:rPr>
            </w:pPr>
          </w:p>
        </w:tc>
        <w:tc>
          <w:tcPr>
            <w:tcW w:w="4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(3,598)</w:t>
            </w:r>
          </w:p>
        </w:tc>
        <w:tc>
          <w:tcPr>
            <w:tcW w:w="0" w:type="dxa"/>
            <w:vAlign w:val="bottom"/>
          </w:tcPr>
          <w:p>
            <w:pPr>
              <w:spacing w:after="0"/>
              <w:rPr>
                <w:sz w:val="1"/>
                <w:szCs w:val="1"/>
                <w:color w:val="auto"/>
              </w:rPr>
            </w:pPr>
          </w:p>
        </w:tc>
      </w:tr>
      <w:tr>
        <w:trPr>
          <w:trHeight w:val="156"/>
        </w:trPr>
        <w:tc>
          <w:tcPr>
            <w:tcW w:w="64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$50 million repurchase of the 2028 Notes</w:t>
            </w:r>
          </w:p>
        </w:tc>
        <w:tc>
          <w:tcPr>
            <w:tcW w:w="80" w:type="dxa"/>
            <w:vAlign w:val="bottom"/>
          </w:tcPr>
          <w:p>
            <w:pPr>
              <w:spacing w:after="0"/>
              <w:rPr>
                <w:sz w:val="13"/>
                <w:szCs w:val="13"/>
                <w:color w:val="auto"/>
              </w:rPr>
            </w:pPr>
          </w:p>
        </w:tc>
        <w:tc>
          <w:tcPr>
            <w:tcW w:w="4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$90 million repurchase of the 8.875% Guaranteed Notes Due 2029</w:t>
            </w:r>
          </w:p>
        </w:tc>
        <w:tc>
          <w:tcPr>
            <w:tcW w:w="80" w:type="dxa"/>
            <w:vAlign w:val="bottom"/>
            <w:shd w:val="clear" w:color="auto" w:fill="CCEEFF"/>
          </w:tcPr>
          <w:p>
            <w:pPr>
              <w:spacing w:after="0"/>
              <w:rPr>
                <w:sz w:val="15"/>
                <w:szCs w:val="15"/>
                <w:color w:val="auto"/>
              </w:rPr>
            </w:pPr>
          </w:p>
        </w:tc>
        <w:tc>
          <w:tcPr>
            <w:tcW w:w="4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w:t>
            </w:r>
          </w:p>
        </w:tc>
        <w:tc>
          <w:tcPr>
            <w:tcW w:w="0" w:type="dxa"/>
            <w:vAlign w:val="bottom"/>
          </w:tcPr>
          <w:p>
            <w:pPr>
              <w:spacing w:after="0"/>
              <w:rPr>
                <w:sz w:val="1"/>
                <w:szCs w:val="1"/>
                <w:color w:val="auto"/>
              </w:rPr>
            </w:pPr>
          </w:p>
        </w:tc>
      </w:tr>
      <w:tr>
        <w:trPr>
          <w:trHeight w:val="16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decreases to interest expense</w:t>
            </w:r>
          </w:p>
        </w:tc>
        <w:tc>
          <w:tcPr>
            <w:tcW w:w="8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(4,776)</w:t>
            </w:r>
          </w:p>
        </w:tc>
        <w:tc>
          <w:tcPr>
            <w:tcW w:w="0" w:type="dxa"/>
            <w:vAlign w:val="bottom"/>
          </w:tcPr>
          <w:p>
            <w:pPr>
              <w:spacing w:after="0"/>
              <w:rPr>
                <w:sz w:val="1"/>
                <w:szCs w:val="1"/>
                <w:color w:val="auto"/>
              </w:rPr>
            </w:pPr>
          </w:p>
        </w:tc>
      </w:tr>
      <w:tr>
        <w:trPr>
          <w:trHeight w:val="20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change in interest expense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6,121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 of Unconsolidated Real Estate Ventures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the loss is primarily due to the consolidation of 3025 JFK Venture in the fourth quarter of 2025, partially offset by a combined net loss on the Company's investment in the One Uptown Multi-Family Venture of $5.3 million during the third quarter of 2026. See Note 4, “Investment in Unconsolidated Real Estate Ventures," to our consolidated financial statements for further details.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early extinguishment of debt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the loss on early extinguishment of debt is primarily due to the retirement of the C-PACE loan and repurchases of the Company's 2028 Notes and its 8.875% Guaranteed Notes Due 2029. See Note 7, “Debt Obligations,” to our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Comparison of the Nine Months Ended September 30, 2026 and September 30, 2025</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comparison of the nine months ended September 30, 2026 to the nine months ended September 30, 2025 makes reference to the effect of the following:</w:t>
      </w:r>
    </w:p>
    <w:p>
      <w:pPr>
        <w:spacing w:after="0" w:line="162" w:lineRule="exact"/>
        <w:rPr>
          <w:sz w:val="20"/>
          <w:szCs w:val="20"/>
          <w:color w:val="auto"/>
        </w:rPr>
      </w:pPr>
    </w:p>
    <w:p>
      <w:pPr>
        <w:jc w:val="both"/>
        <w:ind w:left="660" w:hanging="652"/>
        <w:spacing w:after="0" w:line="255" w:lineRule="auto"/>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Property Portfolio,” which represents 55 properties containing an aggregate of approximately 10.4 million net rentable square feet, and represents properties that we owned and consolidated for the nine-month periods ended September 30, 2026 and 2025. The Same Store Property Portfolio includes properties acquired or placed in service on or prior to January 1, 2025 and owned and consolidated through September 30, 2026 excluding properties classified as held for sale;</w:t>
      </w:r>
    </w:p>
    <w:p>
      <w:pPr>
        <w:spacing w:after="0" w:line="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Portfolio,” which represents all properties owned and consolidated by us during the nine months ended September 30, 2026 and 2025;</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Completed/Acquired Properties," which represents three properties (250 King of Prussia Road, 3025 JFK - office, and 2100 Market Street) placed into service or acquired on or subsequent to January 1, 2025;</w:t>
      </w:r>
    </w:p>
    <w:p>
      <w:pPr>
        <w:jc w:val="both"/>
        <w:ind w:left="660" w:hanging="652"/>
        <w:spacing w:after="0" w:line="250"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"Development/Redevelopment Properties," which represents one property (300 Delaware Avenue) currently in development/redevelopment. A property is excluded from our Same Store Property Portfolio and moved into Development/Redevelopment Properties in the period that we determine to proceed with development/redevelopment for a future development strategy; and</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"YTD 2025 and 2026 Dispositions," which represents properties disposed of from January 1, 2025 through September 30, 2026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to the nine months ended September 30,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20" w:right="300"/>
        <w:spacing w:after="0" w:line="236" w:lineRule="auto"/>
        <w:rPr>
          <w:sz w:val="20"/>
          <w:szCs w:val="20"/>
          <w:color w:val="auto"/>
        </w:rPr>
      </w:pPr>
      <w:r>
        <w:rPr>
          <w:rFonts w:ascii="Times New Roman" w:cs="Times New Roman" w:eastAsia="Times New Roman" w:hAnsi="Times New Roman"/>
          <w:sz w:val="12"/>
          <w:szCs w:val="12"/>
          <w:i w:val="1"/>
          <w:iCs w:val="1"/>
          <w:color w:val="auto"/>
        </w:rPr>
        <w:t>(dollars and square feet in millions except per share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629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Revenue: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Rents</w:t>
      </w:r>
    </w:p>
    <w:p>
      <w:pPr>
        <w:spacing w:after="0" w:line="40" w:lineRule="exact"/>
        <w:rPr>
          <w:sz w:val="20"/>
          <w:szCs w:val="20"/>
          <w:color w:val="auto"/>
        </w:rPr>
      </w:pPr>
    </w:p>
    <w:p>
      <w:pPr>
        <w:ind w:left="360"/>
        <w:spacing w:after="0" w:line="235" w:lineRule="auto"/>
        <w:rPr>
          <w:sz w:val="20"/>
          <w:szCs w:val="20"/>
          <w:color w:val="auto"/>
        </w:rPr>
      </w:pPr>
      <w:r>
        <w:rPr>
          <w:rFonts w:ascii="Times New Roman" w:cs="Times New Roman" w:eastAsia="Times New Roman" w:hAnsi="Times New Roman"/>
          <w:sz w:val="12"/>
          <w:szCs w:val="12"/>
          <w:color w:val="auto"/>
        </w:rPr>
        <w:t>Third party management fees, labor reimbursement</w:t>
      </w:r>
    </w:p>
    <w:p>
      <w:pPr>
        <w:ind w:left="360"/>
        <w:spacing w:after="0"/>
        <w:rPr>
          <w:sz w:val="20"/>
          <w:szCs w:val="20"/>
          <w:color w:val="auto"/>
        </w:rPr>
      </w:pPr>
      <w:r>
        <w:rPr>
          <w:rFonts w:ascii="Times New Roman" w:cs="Times New Roman" w:eastAsia="Times New Roman" w:hAnsi="Times New Roman"/>
          <w:sz w:val="13"/>
          <w:szCs w:val="13"/>
          <w:color w:val="auto"/>
        </w:rPr>
        <w:t>and leasing</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Other</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Total revenue</w:t>
      </w:r>
    </w:p>
    <w:p>
      <w:pPr>
        <w:spacing w:after="0" w:line="40" w:lineRule="exact"/>
        <w:rPr>
          <w:sz w:val="20"/>
          <w:szCs w:val="20"/>
          <w:color w:val="auto"/>
        </w:rPr>
      </w:pPr>
    </w:p>
    <w:p>
      <w:pPr>
        <w:ind w:left="360" w:right="360"/>
        <w:spacing w:after="0" w:line="256" w:lineRule="auto"/>
        <w:rPr>
          <w:sz w:val="20"/>
          <w:szCs w:val="20"/>
          <w:color w:val="auto"/>
        </w:rPr>
      </w:pPr>
      <w:r>
        <w:rPr>
          <w:rFonts w:ascii="Times New Roman" w:cs="Times New Roman" w:eastAsia="Times New Roman" w:hAnsi="Times New Roman"/>
          <w:sz w:val="12"/>
          <w:szCs w:val="12"/>
          <w:color w:val="auto"/>
        </w:rPr>
        <w:t>Property operating expenses</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Real estate taxes</w:t>
      </w:r>
    </w:p>
    <w:p>
      <w:pPr>
        <w:spacing w:after="0" w:line="26" w:lineRule="exact"/>
        <w:rPr>
          <w:sz w:val="20"/>
          <w:szCs w:val="20"/>
          <w:color w:val="auto"/>
        </w:rPr>
      </w:pPr>
    </w:p>
    <w:p>
      <w:pPr>
        <w:ind w:left="360" w:right="60"/>
        <w:spacing w:after="0" w:line="229" w:lineRule="auto"/>
        <w:rPr>
          <w:sz w:val="20"/>
          <w:szCs w:val="20"/>
          <w:color w:val="auto"/>
        </w:rPr>
      </w:pPr>
      <w:r>
        <w:rPr>
          <w:rFonts w:ascii="Times New Roman" w:cs="Times New Roman" w:eastAsia="Times New Roman" w:hAnsi="Times New Roman"/>
          <w:sz w:val="13"/>
          <w:szCs w:val="13"/>
          <w:color w:val="auto"/>
        </w:rPr>
        <w:t>Third party management expenses</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Net operating income</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Depreciation and</w:t>
      </w:r>
    </w:p>
    <w:p>
      <w:pPr>
        <w:ind w:left="360"/>
        <w:spacing w:after="0"/>
        <w:rPr>
          <w:sz w:val="20"/>
          <w:szCs w:val="20"/>
          <w:color w:val="auto"/>
        </w:rPr>
      </w:pPr>
      <w:r>
        <w:rPr>
          <w:rFonts w:ascii="Times New Roman" w:cs="Times New Roman" w:eastAsia="Times New Roman" w:hAnsi="Times New Roman"/>
          <w:sz w:val="13"/>
          <w:szCs w:val="13"/>
          <w:color w:val="auto"/>
        </w:rPr>
        <w:t>amortization</w:t>
      </w:r>
    </w:p>
    <w:p>
      <w:pPr>
        <w:spacing w:after="0" w:line="26" w:lineRule="exact"/>
        <w:rPr>
          <w:sz w:val="20"/>
          <w:szCs w:val="20"/>
          <w:color w:val="auto"/>
        </w:rPr>
      </w:pPr>
    </w:p>
    <w:p>
      <w:pPr>
        <w:ind w:left="360" w:right="40"/>
        <w:spacing w:after="0" w:line="229" w:lineRule="auto"/>
        <w:rPr>
          <w:sz w:val="20"/>
          <w:szCs w:val="20"/>
          <w:color w:val="auto"/>
        </w:rPr>
      </w:pPr>
      <w:r>
        <w:rPr>
          <w:rFonts w:ascii="Times New Roman" w:cs="Times New Roman" w:eastAsia="Times New Roman" w:hAnsi="Times New Roman"/>
          <w:sz w:val="13"/>
          <w:szCs w:val="13"/>
          <w:color w:val="auto"/>
        </w:rPr>
        <w:t>General &amp; administrative expenses</w:t>
      </w:r>
    </w:p>
    <w:p>
      <w:pPr>
        <w:spacing w:after="0" w:line="25" w:lineRule="exact"/>
        <w:rPr>
          <w:sz w:val="20"/>
          <w:szCs w:val="20"/>
          <w:color w:val="auto"/>
        </w:rPr>
      </w:pPr>
    </w:p>
    <w:p>
      <w:pPr>
        <w:ind w:left="360" w:right="40"/>
        <w:spacing w:after="0" w:line="229" w:lineRule="auto"/>
        <w:rPr>
          <w:sz w:val="20"/>
          <w:szCs w:val="20"/>
          <w:color w:val="auto"/>
        </w:rPr>
      </w:pPr>
      <w:r>
        <w:rPr>
          <w:rFonts w:ascii="Times New Roman" w:cs="Times New Roman" w:eastAsia="Times New Roman" w:hAnsi="Times New Roman"/>
          <w:sz w:val="13"/>
          <w:szCs w:val="13"/>
          <w:color w:val="auto"/>
        </w:rPr>
        <w:t>Provision for impairment (c)</w:t>
      </w:r>
    </w:p>
    <w:p>
      <w:pPr>
        <w:spacing w:after="0" w:line="25" w:lineRule="exact"/>
        <w:rPr>
          <w:sz w:val="20"/>
          <w:szCs w:val="20"/>
          <w:color w:val="auto"/>
        </w:rPr>
      </w:pPr>
    </w:p>
    <w:p>
      <w:pPr>
        <w:ind w:left="360"/>
        <w:spacing w:after="0" w:line="229" w:lineRule="auto"/>
        <w:rPr>
          <w:sz w:val="20"/>
          <w:szCs w:val="20"/>
          <w:color w:val="auto"/>
        </w:rPr>
      </w:pPr>
      <w:r>
        <w:rPr>
          <w:rFonts w:ascii="Times New Roman" w:cs="Times New Roman" w:eastAsia="Times New Roman" w:hAnsi="Times New Roman"/>
          <w:sz w:val="13"/>
          <w:szCs w:val="13"/>
          <w:color w:val="auto"/>
        </w:rPr>
        <w:t>Net gain on disposition of real estate</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Operating income (loss)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Number of properties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Square feet</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Same Store Occupancy % (b)</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Income (Expense):</w:t>
      </w:r>
    </w:p>
    <w:p>
      <w:pPr>
        <w:spacing w:after="0" w:line="26" w:lineRule="exact"/>
        <w:rPr>
          <w:sz w:val="20"/>
          <w:szCs w:val="20"/>
          <w:color w:val="auto"/>
        </w:rPr>
      </w:pPr>
    </w:p>
    <w:p>
      <w:pPr>
        <w:ind w:left="360" w:right="140"/>
        <w:spacing w:after="0" w:line="229" w:lineRule="auto"/>
        <w:rPr>
          <w:sz w:val="20"/>
          <w:szCs w:val="20"/>
          <w:color w:val="auto"/>
        </w:rPr>
      </w:pPr>
      <w:r>
        <w:rPr>
          <w:rFonts w:ascii="Times New Roman" w:cs="Times New Roman" w:eastAsia="Times New Roman" w:hAnsi="Times New Roman"/>
          <w:sz w:val="13"/>
          <w:szCs w:val="13"/>
          <w:color w:val="auto"/>
        </w:rPr>
        <w:t>Interest and investment income</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Interest expense</w:t>
      </w:r>
    </w:p>
    <w:p>
      <w:pPr>
        <w:spacing w:after="0" w:line="26" w:lineRule="exact"/>
        <w:rPr>
          <w:sz w:val="20"/>
          <w:szCs w:val="20"/>
          <w:color w:val="auto"/>
        </w:rPr>
      </w:pPr>
    </w:p>
    <w:p>
      <w:pPr>
        <w:ind w:left="360" w:right="80"/>
        <w:spacing w:after="0" w:line="256" w:lineRule="auto"/>
        <w:rPr>
          <w:sz w:val="20"/>
          <w:szCs w:val="20"/>
          <w:color w:val="auto"/>
        </w:rPr>
      </w:pPr>
      <w:r>
        <w:rPr>
          <w:rFonts w:ascii="Times New Roman" w:cs="Times New Roman" w:eastAsia="Times New Roman" w:hAnsi="Times New Roman"/>
          <w:sz w:val="12"/>
          <w:szCs w:val="12"/>
          <w:color w:val="auto"/>
        </w:rPr>
        <w:t>Interest expense — Deferred financing costs</w:t>
      </w:r>
    </w:p>
    <w:p>
      <w:pPr>
        <w:spacing w:after="0" w:line="16" w:lineRule="exact"/>
        <w:rPr>
          <w:sz w:val="20"/>
          <w:szCs w:val="20"/>
          <w:color w:val="auto"/>
        </w:rPr>
      </w:pPr>
    </w:p>
    <w:p>
      <w:pPr>
        <w:ind w:left="360"/>
        <w:spacing w:after="0" w:line="235" w:lineRule="auto"/>
        <w:rPr>
          <w:sz w:val="20"/>
          <w:szCs w:val="20"/>
          <w:color w:val="auto"/>
        </w:rPr>
      </w:pPr>
      <w:r>
        <w:rPr>
          <w:rFonts w:ascii="Times New Roman" w:cs="Times New Roman" w:eastAsia="Times New Roman" w:hAnsi="Times New Roman"/>
          <w:sz w:val="12"/>
          <w:szCs w:val="12"/>
          <w:color w:val="auto"/>
        </w:rPr>
        <w:t>Equity in loss of unconsolidated real estate</w:t>
      </w:r>
    </w:p>
    <w:p>
      <w:pPr>
        <w:ind w:left="360"/>
        <w:spacing w:after="0"/>
        <w:rPr>
          <w:sz w:val="20"/>
          <w:szCs w:val="20"/>
          <w:color w:val="auto"/>
        </w:rPr>
      </w:pPr>
      <w:r>
        <w:rPr>
          <w:rFonts w:ascii="Times New Roman" w:cs="Times New Roman" w:eastAsia="Times New Roman" w:hAnsi="Times New Roman"/>
          <w:sz w:val="13"/>
          <w:szCs w:val="13"/>
          <w:color w:val="auto"/>
        </w:rPr>
        <w:t>ventures</w:t>
      </w:r>
    </w:p>
    <w:p>
      <w:pPr>
        <w:spacing w:after="0" w:line="12" w:lineRule="exact"/>
        <w:rPr>
          <w:sz w:val="20"/>
          <w:szCs w:val="20"/>
          <w:color w:val="auto"/>
        </w:rPr>
      </w:pPr>
    </w:p>
    <w:p>
      <w:pPr>
        <w:ind w:left="360" w:right="180"/>
        <w:spacing w:after="0" w:line="256" w:lineRule="auto"/>
        <w:rPr>
          <w:sz w:val="20"/>
          <w:szCs w:val="20"/>
          <w:color w:val="auto"/>
        </w:rPr>
      </w:pPr>
      <w:r>
        <w:rPr>
          <w:rFonts w:ascii="Times New Roman" w:cs="Times New Roman" w:eastAsia="Times New Roman" w:hAnsi="Times New Roman"/>
          <w:sz w:val="12"/>
          <w:szCs w:val="12"/>
          <w:color w:val="auto"/>
        </w:rPr>
        <w:t>Net gain on real estate venture transactions</w:t>
      </w:r>
    </w:p>
    <w:p>
      <w:pPr>
        <w:spacing w:after="0" w:line="16" w:lineRule="exact"/>
        <w:rPr>
          <w:sz w:val="20"/>
          <w:szCs w:val="20"/>
          <w:color w:val="auto"/>
        </w:rPr>
      </w:pPr>
    </w:p>
    <w:p>
      <w:pPr>
        <w:ind w:left="360" w:right="140"/>
        <w:spacing w:after="0" w:line="256" w:lineRule="auto"/>
        <w:rPr>
          <w:sz w:val="20"/>
          <w:szCs w:val="20"/>
          <w:color w:val="auto"/>
        </w:rPr>
      </w:pPr>
      <w:r>
        <w:rPr>
          <w:rFonts w:ascii="Times New Roman" w:cs="Times New Roman" w:eastAsia="Times New Roman" w:hAnsi="Times New Roman"/>
          <w:sz w:val="12"/>
          <w:szCs w:val="12"/>
          <w:color w:val="auto"/>
        </w:rPr>
        <w:t>Loss on early extinguishment of debt</w:t>
      </w:r>
    </w:p>
    <w:p>
      <w:pPr>
        <w:spacing w:after="0" w:line="16" w:lineRule="exact"/>
        <w:rPr>
          <w:sz w:val="20"/>
          <w:szCs w:val="20"/>
          <w:color w:val="auto"/>
        </w:rPr>
      </w:pPr>
    </w:p>
    <w:p>
      <w:pPr>
        <w:ind w:left="140" w:right="240" w:firstLine="203"/>
        <w:spacing w:after="0" w:line="314" w:lineRule="auto"/>
        <w:rPr>
          <w:sz w:val="20"/>
          <w:szCs w:val="20"/>
          <w:color w:val="auto"/>
        </w:rPr>
      </w:pPr>
      <w:r>
        <w:rPr>
          <w:rFonts w:ascii="Times New Roman" w:cs="Times New Roman" w:eastAsia="Times New Roman" w:hAnsi="Times New Roman"/>
          <w:sz w:val="13"/>
          <w:szCs w:val="13"/>
          <w:color w:val="auto"/>
        </w:rPr>
        <w:t>Income tax provision Net loss</w:t>
      </w:r>
    </w:p>
    <w:p>
      <w:pPr>
        <w:ind w:left="140" w:right="220"/>
        <w:spacing w:after="0" w:line="235" w:lineRule="auto"/>
        <w:rPr>
          <w:sz w:val="20"/>
          <w:szCs w:val="20"/>
          <w:color w:val="auto"/>
        </w:rPr>
      </w:pPr>
      <w:r>
        <w:rPr>
          <w:rFonts w:ascii="Times New Roman" w:cs="Times New Roman" w:eastAsia="Times New Roman" w:hAnsi="Times New Roman"/>
          <w:sz w:val="12"/>
          <w:szCs w:val="12"/>
          <w:color w:val="auto"/>
        </w:rPr>
        <w:t>Net loss attributable to Common Shareholders of</w:t>
      </w:r>
    </w:p>
    <w:p>
      <w:pPr>
        <w:ind w:left="140"/>
        <w:spacing w:after="0"/>
        <w:rPr>
          <w:sz w:val="20"/>
          <w:szCs w:val="20"/>
          <w:color w:val="auto"/>
        </w:rPr>
      </w:pPr>
      <w:r>
        <w:rPr>
          <w:rFonts w:ascii="Times New Roman" w:cs="Times New Roman" w:eastAsia="Times New Roman" w:hAnsi="Times New Roman"/>
          <w:sz w:val="13"/>
          <w:szCs w:val="13"/>
          <w:color w:val="auto"/>
        </w:rPr>
        <w:t>Brandywine Realty Trust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Recently</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6"/>
            <w:vMerge w:val="restart"/>
          </w:tcPr>
          <w:p>
            <w:pPr>
              <w:ind w:left="40"/>
              <w:spacing w:after="0"/>
              <w:rPr>
                <w:sz w:val="20"/>
                <w:szCs w:val="20"/>
                <w:color w:val="auto"/>
              </w:rPr>
            </w:pPr>
            <w:r>
              <w:rPr>
                <w:rFonts w:ascii="Times New Roman" w:cs="Times New Roman" w:eastAsia="Times New Roman" w:hAnsi="Times New Roman"/>
                <w:sz w:val="13"/>
                <w:szCs w:val="13"/>
                <w:color w:val="auto"/>
              </w:rPr>
              <w:t>Development/Redevelopment</w:t>
            </w:r>
          </w:p>
        </w:tc>
        <w:tc>
          <w:tcPr>
            <w:tcW w:w="100" w:type="dxa"/>
            <w:vAlign w:val="bottom"/>
          </w:tcPr>
          <w:p>
            <w:pPr>
              <w:spacing w:after="0"/>
              <w:rPr>
                <w:sz w:val="12"/>
                <w:szCs w:val="12"/>
                <w:color w:val="auto"/>
              </w:rPr>
            </w:pPr>
          </w:p>
        </w:tc>
        <w:tc>
          <w:tcPr>
            <w:tcW w:w="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Other</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6"/>
          </w:tcPr>
          <w:p>
            <w:pPr>
              <w:ind w:left="20"/>
              <w:spacing w:after="0" w:line="122" w:lineRule="exact"/>
              <w:rPr>
                <w:sz w:val="20"/>
                <w:szCs w:val="20"/>
                <w:color w:val="auto"/>
              </w:rPr>
            </w:pPr>
            <w:r>
              <w:rPr>
                <w:rFonts w:ascii="Times New Roman" w:cs="Times New Roman" w:eastAsia="Times New Roman" w:hAnsi="Times New Roman"/>
                <w:sz w:val="13"/>
                <w:szCs w:val="13"/>
                <w:color w:val="auto"/>
              </w:rPr>
              <w:t>Completed/Acquired</w:t>
            </w:r>
          </w:p>
        </w:tc>
        <w:tc>
          <w:tcPr>
            <w:tcW w:w="166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980" w:type="dxa"/>
            <w:vAlign w:val="bottom"/>
            <w:gridSpan w:val="9"/>
          </w:tcPr>
          <w:p>
            <w:pPr>
              <w:ind w:left="440"/>
              <w:spacing w:after="0"/>
              <w:rPr>
                <w:sz w:val="20"/>
                <w:szCs w:val="20"/>
                <w:color w:val="auto"/>
              </w:rPr>
            </w:pPr>
            <w:r>
              <w:rPr>
                <w:rFonts w:ascii="Times New Roman" w:cs="Times New Roman" w:eastAsia="Times New Roman" w:hAnsi="Times New Roman"/>
                <w:sz w:val="13"/>
                <w:szCs w:val="13"/>
                <w:color w:val="auto"/>
                <w:w w:val="96"/>
              </w:rPr>
              <w:t>Same Store Property Portfolio</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Properties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Properties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6"/>
          </w:tcPr>
          <w:p>
            <w:pPr>
              <w:ind w:left="80"/>
              <w:spacing w:after="0"/>
              <w:rPr>
                <w:sz w:val="20"/>
                <w:szCs w:val="20"/>
                <w:color w:val="auto"/>
              </w:rPr>
            </w:pPr>
            <w:r>
              <w:rPr>
                <w:rFonts w:ascii="Times New Roman" w:cs="Times New Roman" w:eastAsia="Times New Roman" w:hAnsi="Times New Roman"/>
                <w:sz w:val="13"/>
                <w:szCs w:val="13"/>
                <w:color w:val="auto"/>
              </w:rPr>
              <w:t>(Eliminations) (a)</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4"/>
          </w:tcPr>
          <w:p>
            <w:pPr>
              <w:jc w:val="right"/>
              <w:ind w:right="117"/>
              <w:spacing w:after="0"/>
              <w:rPr>
                <w:sz w:val="20"/>
                <w:szCs w:val="20"/>
                <w:color w:val="auto"/>
              </w:rPr>
            </w:pPr>
            <w:r>
              <w:rPr>
                <w:rFonts w:ascii="Times New Roman" w:cs="Times New Roman" w:eastAsia="Times New Roman" w:hAnsi="Times New Roman"/>
                <w:sz w:val="13"/>
                <w:szCs w:val="13"/>
                <w:color w:val="auto"/>
              </w:rPr>
              <w:t>Total Portfolio</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5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5"/>
                <w:szCs w:val="15"/>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Change</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Change</w:t>
            </w:r>
          </w:p>
        </w:tc>
        <w:tc>
          <w:tcPr>
            <w:tcW w:w="100" w:type="dxa"/>
            <w:vAlign w:val="bottom"/>
          </w:tcPr>
          <w:p>
            <w:pPr>
              <w:spacing w:after="0"/>
              <w:rPr>
                <w:sz w:val="15"/>
                <w:szCs w:val="15"/>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9"/>
              </w:rPr>
              <w:t>2026</w:t>
            </w:r>
          </w:p>
        </w:tc>
        <w:tc>
          <w:tcPr>
            <w:tcW w:w="100" w:type="dxa"/>
            <w:vAlign w:val="bottom"/>
          </w:tcPr>
          <w:p>
            <w:pPr>
              <w:spacing w:after="0"/>
              <w:rPr>
                <w:sz w:val="15"/>
                <w:szCs w:val="15"/>
                <w:color w:val="auto"/>
              </w:rPr>
            </w:pPr>
          </w:p>
        </w:tc>
        <w:tc>
          <w:tcPr>
            <w:tcW w:w="5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2026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9"/>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2"/>
              </w:rPr>
              <w:t>2026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2"/>
              </w:rPr>
              <w:t>2025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Change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8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58"/>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297.4</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288.7</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3"/>
                <w:szCs w:val="13"/>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362.0</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18.6</w:t>
            </w:r>
          </w:p>
        </w:tc>
        <w:tc>
          <w:tcPr>
            <w:tcW w:w="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7"/>
        </w:trPr>
        <w:tc>
          <w:tcPr>
            <w:tcW w:w="14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6"/>
              </w:rPr>
              <w:t>(2.4)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38.8 %</w:t>
            </w:r>
          </w:p>
        </w:tc>
        <w:tc>
          <w:tcPr>
            <w:tcW w:w="0" w:type="dxa"/>
            <w:vAlign w:val="bottom"/>
          </w:tcPr>
          <w:p>
            <w:pPr>
              <w:spacing w:after="0"/>
              <w:rPr>
                <w:sz w:val="1"/>
                <w:szCs w:val="1"/>
                <w:color w:val="auto"/>
              </w:rPr>
            </w:pPr>
          </w:p>
        </w:tc>
      </w:tr>
      <w:tr>
        <w:trPr>
          <w:trHeight w:val="164"/>
        </w:trPr>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298.2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289.4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381.6</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363.5</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18.1</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306"/>
        </w:trPr>
        <w:tc>
          <w:tcPr>
            <w:tcW w:w="140" w:type="dxa"/>
            <w:vAlign w:val="bottom"/>
          </w:tcPr>
          <w:p>
            <w:pPr>
              <w:spacing w:after="0"/>
              <w:rPr>
                <w:sz w:val="24"/>
                <w:szCs w:val="24"/>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78.1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20.0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6"/>
              </w:rPr>
              <w:t>(0.6)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320"/>
        </w:trPr>
        <w:tc>
          <w:tcPr>
            <w:tcW w:w="14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6"/>
              </w:rPr>
              <w:t>(1.2)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64"/>
        </w:trPr>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184.5</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183.6</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w w:val="96"/>
              </w:rPr>
              <w:t>(0.1)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306"/>
        </w:trPr>
        <w:tc>
          <w:tcPr>
            <w:tcW w:w="140" w:type="dxa"/>
            <w:vAlign w:val="bottom"/>
          </w:tcPr>
          <w:p>
            <w:pPr>
              <w:spacing w:after="0"/>
              <w:rPr>
                <w:sz w:val="24"/>
                <w:szCs w:val="24"/>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97.1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11.0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310"/>
        </w:trPr>
        <w:tc>
          <w:tcPr>
            <w:tcW w:w="14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6"/>
              </w:rPr>
              <w:t>(5.0)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5"/>
              </w:rPr>
              <w:t>(22.4)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0" w:type="dxa"/>
            <w:vAlign w:val="bottom"/>
          </w:tcPr>
          <w:p>
            <w:pPr>
              <w:spacing w:after="0"/>
              <w:rPr>
                <w:sz w:val="1"/>
                <w:szCs w:val="1"/>
                <w:color w:val="auto"/>
              </w:rPr>
            </w:pPr>
          </w:p>
        </w:tc>
      </w:tr>
      <w:tr>
        <w:trPr>
          <w:trHeight w:val="320"/>
        </w:trPr>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w w:val="95"/>
              </w:rPr>
              <w:t>(52.8)</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1760.0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64"/>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88.3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86.5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69.1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(6910.0)%</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6"/>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6"/>
              </w:rPr>
              <w:t>(0.9)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5"/>
              </w:rPr>
              <w:t>(24.8)</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310"/>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6"/>
              </w:rPr>
              <w:t>(0.2)</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311"/>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6"/>
              </w:rPr>
              <w:t>(0.2)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310"/>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5"/>
              </w:rPr>
              <w:t>(15.4)</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(102.5)</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(142.0)</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39.5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(0.82)</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0.23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-4311015</wp:posOffset>
            </wp:positionV>
            <wp:extent cx="7123430"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-3916680</wp:posOffset>
            </wp:positionV>
            <wp:extent cx="7123430" cy="111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3430" cy="11112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-3685540</wp:posOffset>
            </wp:positionV>
            <wp:extent cx="7123430"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3430" cy="19685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-3376930</wp:posOffset>
            </wp:positionV>
            <wp:extent cx="7123430"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23430" cy="19685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-3059430</wp:posOffset>
            </wp:positionV>
            <wp:extent cx="712343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23430" cy="19685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-2665095</wp:posOffset>
            </wp:positionV>
            <wp:extent cx="712343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3430" cy="19685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-2270760</wp:posOffset>
            </wp:positionV>
            <wp:extent cx="7123430"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-2039620</wp:posOffset>
            </wp:positionV>
            <wp:extent cx="7123430" cy="111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3430" cy="11112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-1816735</wp:posOffset>
            </wp:positionV>
            <wp:extent cx="7123430" cy="111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23430" cy="11176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-1508125</wp:posOffset>
            </wp:positionV>
            <wp:extent cx="7123430" cy="1111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3430" cy="111125"/>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-1199515</wp:posOffset>
            </wp:positionV>
            <wp:extent cx="712343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23430" cy="27432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-727710</wp:posOffset>
            </wp:positionV>
            <wp:extent cx="7123430" cy="196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3430" cy="196850"/>
                    </a:xfrm>
                    <a:prstGeom prst="rect">
                      <a:avLst/>
                    </a:prstGeom>
                    <a:noFill/>
                  </pic:spPr>
                </pic:pic>
              </a:graphicData>
            </a:graphic>
          </wp:anchor>
        </w:drawing>
        <w:drawing>
          <wp:anchor simplePos="0" relativeHeight="251657728" behindDoc="1" locked="0" layoutInCell="0" allowOverlap="1">
            <wp:simplePos x="0" y="0"/>
            <wp:positionH relativeFrom="column">
              <wp:posOffset>-1124585</wp:posOffset>
            </wp:positionH>
            <wp:positionV relativeFrom="paragraph">
              <wp:posOffset>-419100</wp:posOffset>
            </wp:positionV>
            <wp:extent cx="712343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1660" w:space="120"/>
            <w:col w:w="9460"/>
          </w:cols>
          <w:pgMar w:left="320" w:top="121" w:right="339" w:bottom="1440" w:gutter="0" w:footer="0" w:header="0"/>
          <w:type w:val="continuous"/>
        </w:sectPr>
      </w:pPr>
    </w:p>
    <w:p>
      <w:pPr>
        <w:ind w:left="660" w:right="20" w:hanging="652"/>
        <w:spacing w:after="0" w:line="282" w:lineRule="auto"/>
        <w:tabs>
          <w:tab w:leader="none" w:pos="65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certain revenues and expenses at the corporate level as well as various intercompany costs that are eliminated in consolidation, third-party management fees, provisions for impairment, and changes in the accrued rent receivable allowance. Other/(Eliminations) also includes properties sold and</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14"/>
          <w:szCs w:val="14"/>
          <w:color w:val="auto"/>
        </w:rPr>
        <w:t>properties classified as held for sale, the parking operations of predevelopment projects, the hotel located in Radnor, Pennsylvania, the residential and retail components within University City in Philadelphia, Pennsylvania, the restaurant component of Cira Centre, the B. Labs incubator, and normal intercompany eliminating entries.</w:t>
      </w:r>
    </w:p>
    <w:p>
      <w:pPr>
        <w:ind w:left="640" w:hanging="632"/>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Pertains to Same Store Properties.</w:t>
      </w:r>
    </w:p>
    <w:p>
      <w:pPr>
        <w:spacing w:after="0" w:line="4"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Held for use and held for sale impairment charges are excluded from Same Store Property Portfolio operating income and presented in Other (Eliminations).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Rents increased primarily as a result of the following:</w:t>
      </w:r>
    </w:p>
    <w:p>
      <w:pPr>
        <w:spacing w:after="0" w:line="17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$18.9 million increase due to the consolidation of 3025 JFK Venture and 3151 Market Street Venture in the fourth quarter of 2025;</w:t>
      </w:r>
    </w:p>
    <w:p>
      <w:pPr>
        <w:spacing w:after="0" w:line="27" w:lineRule="exact"/>
        <w:rPr>
          <w:rFonts w:ascii="Times New Roman" w:cs="Times New Roman" w:eastAsia="Times New Roman" w:hAnsi="Times New Roman"/>
          <w:sz w:val="18"/>
          <w:szCs w:val="18"/>
          <w:i w:val="1"/>
          <w:iCs w:val="1"/>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increase related to 155 King of Prussia Road, Radnor, PA and 250 King of Prussia Road, Radnor, PA, which were both Recently Completed/Acquired Properties in 2025, but stabilized in the first quarter of 2026 and the second quarter of 2026, respectively;</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increase related to 165 King of Prussia Road, Radnor, PA, which was put in service in the second quarter of 2026;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$12.6 million decrease due to the sale of Four Barton Skyway, Austin, TX in the second quarter of 2025, the sale of Quarry Lake II, Austin, TX in the third quarter of 2025, the sale of Six Tower Bridge, Conshohocken, PA in the second quarter of 2026, and the sales of 500 North Gulph Road, King of Prussia, PA, 405 Colorado, Austin, TX, and 8260 Greensboro Drive and 1676 International Drive, McLean, VA in the third quarter of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Operating Expense increased primarily as a result of the following:</w:t>
      </w:r>
    </w:p>
    <w:p>
      <w:pPr>
        <w:spacing w:after="0" w:line="1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million increase due to the consolidation of 3025 JFK Venture and 3151 Market Street Venture in the fourth quarter of 2025;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million increase due to higher utilities cost and operating cost during the nine months ended September 30, 2026 compared to 2025;</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million increase due to the opening of the hotel in Radnor, Pennsylvania in the second quarter of 2026 and the opening of a food hall in the fourth quarter of 2025; and</w:t>
      </w:r>
    </w:p>
    <w:p>
      <w:pPr>
        <w:jc w:val="both"/>
        <w:ind w:left="660" w:hanging="328"/>
        <w:spacing w:after="0" w:line="25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$2.6 million decrease due to the sale of Four Barton Skyway, Austin, TX in the second quarter of 2025, the sale of Quarry Lake II, Austin, TX in the third quarter of 2025, the sale of Six Tower Bridge, Conshohocken, PA in the second quarter of 2026, and the sales of 500 North Gulph Road, King of Prussia, PA, 405 Colorado, Austin, TX, and 8260 Greensboro Drive and 1676 International Drive, McLean, VA in the third quarter of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primarily due to the consolidation of 3025 JFK Venture and 3151 Market Street Venture in the fourth quarter of 2025 partially offset by a decrease due to the sale of Four Barton Skyway, Austin, TX in the second quarter of 2025, the sale of Quarry Lake II, Austin, TX in the third quarter of 2025, the sale of Six Tower Bridge, Conshohocken, PA in the second quarter of 2026, and the sales of 500 North Gulph Road, King of Prussia, PA, 405 Colorado, Austin, TX, and 8260 Greensboro Drive and 1676 International Drive, McLean, VA in the third quarter of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&amp;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&amp; administrative expenses decreased primarily due to lower stock compensation expenses recognized in the first quarter of 2026 compared to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Impairment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recognized $41.0 million in aggregate impairments on Six Tower Bridge, Conshohocken, PA, 8260 Greensboro Drive and 1676 International Drive, McLean, VA, and 3151 Market Street, Philadelphia, PA.</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recognized $63.4 million in aggregate impairments on Four Barton Skyway, Austin, TX, Quarry Lake II, Austin, TX, River Place - Building 2, Austin, TX, and River Place - Building 3, Austin, TX.</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gain on disposition of real estate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recognized $55.8 million of net gain on disposition of real estate primarily from the sales of 500 North Gulph Road, King of Prussia, PA, 405 Colorado, Austin, TX, and 8260 Greensboro Drive and 1676 International Drive, McLean, VA in the third quarter of 2026.</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recognized a gain of $3.1 million from installment proceeds received from the buyer of a property, located in Philadelphia, Pennsylvania, that the Company sold in March 2017.</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increased by approximately $24.8 million for the nine months ended September 30, 2026 compared to 2025, as detailed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Component</w:t>
            </w:r>
          </w:p>
        </w:tc>
        <w:tc>
          <w:tcPr>
            <w:tcW w:w="120" w:type="dxa"/>
            <w:vAlign w:val="bottom"/>
            <w:shd w:val="clear" w:color="auto" w:fill="CCEEFF"/>
          </w:tcPr>
          <w:p>
            <w:pPr>
              <w:spacing w:after="0"/>
              <w:rPr>
                <w:sz w:val="12"/>
                <w:szCs w:val="12"/>
                <w:color w:val="auto"/>
              </w:rPr>
            </w:pPr>
          </w:p>
        </w:tc>
        <w:tc>
          <w:tcPr>
            <w:tcW w:w="43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8"/>
              </w:rPr>
              <w:t>Change in interest expense for the nine months ended September 30, 2026 compared to</w:t>
            </w:r>
          </w:p>
        </w:tc>
        <w:tc>
          <w:tcPr>
            <w:tcW w:w="0" w:type="dxa"/>
            <w:vAlign w:val="bottom"/>
          </w:tcPr>
          <w:p>
            <w:pPr>
              <w:spacing w:after="0"/>
              <w:rPr>
                <w:sz w:val="1"/>
                <w:szCs w:val="1"/>
                <w:color w:val="auto"/>
              </w:rPr>
            </w:pPr>
          </w:p>
        </w:tc>
      </w:tr>
      <w:tr>
        <w:trPr>
          <w:trHeight w:val="157"/>
        </w:trPr>
        <w:tc>
          <w:tcPr>
            <w:tcW w:w="6200" w:type="dxa"/>
            <w:vAlign w:val="bottom"/>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360" w:type="dxa"/>
            <w:vAlign w:val="bottom"/>
            <w:tcBorders>
              <w:bottom w:val="single" w:sz="8" w:color="auto"/>
            </w:tcBorders>
            <w:shd w:val="clear" w:color="auto" w:fill="CCEEFF"/>
          </w:tcPr>
          <w:p>
            <w:pPr>
              <w:jc w:val="right"/>
              <w:ind w:right="1382"/>
              <w:spacing w:after="0"/>
              <w:rPr>
                <w:sz w:val="20"/>
                <w:szCs w:val="20"/>
                <w:color w:val="auto"/>
              </w:rPr>
            </w:pPr>
            <w:r>
              <w:rPr>
                <w:rFonts w:ascii="Times New Roman" w:cs="Times New Roman" w:eastAsia="Times New Roman" w:hAnsi="Times New Roman"/>
                <w:sz w:val="12"/>
                <w:szCs w:val="12"/>
                <w:color w:val="auto"/>
              </w:rPr>
              <w:t>September 30, 2025 (in thousands)</w:t>
            </w:r>
          </w:p>
        </w:tc>
        <w:tc>
          <w:tcPr>
            <w:tcW w:w="0" w:type="dxa"/>
            <w:vAlign w:val="bottom"/>
          </w:tcPr>
          <w:p>
            <w:pPr>
              <w:spacing w:after="0"/>
              <w:rPr>
                <w:sz w:val="1"/>
                <w:szCs w:val="1"/>
                <w:color w:val="auto"/>
              </w:rPr>
            </w:pPr>
          </w:p>
        </w:tc>
      </w:tr>
      <w:tr>
        <w:trPr>
          <w:trHeight w:val="136"/>
        </w:trPr>
        <w:tc>
          <w:tcPr>
            <w:tcW w:w="620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Increases to interest expense due to:</w:t>
            </w:r>
          </w:p>
        </w:tc>
        <w:tc>
          <w:tcPr>
            <w:tcW w:w="1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An additional $150 million aggregate principal amount of 8.875% Guaranteed Notes due 2029</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5,334</w:t>
            </w:r>
          </w:p>
        </w:tc>
        <w:tc>
          <w:tcPr>
            <w:tcW w:w="0" w:type="dxa"/>
            <w:vAlign w:val="bottom"/>
          </w:tcPr>
          <w:p>
            <w:pPr>
              <w:spacing w:after="0"/>
              <w:rPr>
                <w:sz w:val="1"/>
                <w:szCs w:val="1"/>
                <w:color w:val="auto"/>
              </w:rPr>
            </w:pPr>
          </w:p>
        </w:tc>
      </w:tr>
      <w:tr>
        <w:trPr>
          <w:trHeight w:val="156"/>
        </w:trPr>
        <w:tc>
          <w:tcPr>
            <w:tcW w:w="62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Issuance of $300 million aggregate principal amount of our 6.125% Guaranteed Notes due 2031</w:t>
            </w:r>
          </w:p>
        </w:tc>
        <w:tc>
          <w:tcPr>
            <w:tcW w:w="120" w:type="dxa"/>
            <w:vAlign w:val="bottom"/>
          </w:tcPr>
          <w:p>
            <w:pPr>
              <w:spacing w:after="0"/>
              <w:rPr>
                <w:sz w:val="13"/>
                <w:szCs w:val="13"/>
                <w:color w:val="auto"/>
              </w:rPr>
            </w:pPr>
          </w:p>
        </w:tc>
        <w:tc>
          <w:tcPr>
            <w:tcW w:w="4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13,679</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$57.3 million Commercial Property Assessed Clean Energy (“C-PACE”)</w:t>
            </w:r>
          </w:p>
        </w:tc>
        <w:tc>
          <w:tcPr>
            <w:tcW w:w="120" w:type="dxa"/>
            <w:vAlign w:val="bottom"/>
            <w:tcBorders>
              <w:bottom w:val="single" w:sz="8" w:color="CCEEFF"/>
            </w:tcBorders>
            <w:shd w:val="clear" w:color="auto" w:fill="CCEEFF"/>
          </w:tcPr>
          <w:p>
            <w:pPr>
              <w:spacing w:after="0"/>
              <w:rPr>
                <w:sz w:val="13"/>
                <w:szCs w:val="13"/>
                <w:color w:val="auto"/>
              </w:rPr>
            </w:pPr>
          </w:p>
        </w:tc>
        <w:tc>
          <w:tcPr>
            <w:tcW w:w="43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3,262</w:t>
            </w:r>
          </w:p>
        </w:tc>
        <w:tc>
          <w:tcPr>
            <w:tcW w:w="0" w:type="dxa"/>
            <w:vAlign w:val="bottom"/>
          </w:tcPr>
          <w:p>
            <w:pPr>
              <w:spacing w:after="0"/>
              <w:rPr>
                <w:sz w:val="1"/>
                <w:szCs w:val="1"/>
                <w:color w:val="auto"/>
              </w:rPr>
            </w:pPr>
          </w:p>
        </w:tc>
      </w:tr>
      <w:tr>
        <w:trPr>
          <w:trHeight w:val="155"/>
        </w:trPr>
        <w:tc>
          <w:tcPr>
            <w:tcW w:w="62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$178 million Construction Loan acquired through 3025 JFK consolidation</w:t>
            </w:r>
          </w:p>
        </w:tc>
        <w:tc>
          <w:tcPr>
            <w:tcW w:w="120" w:type="dxa"/>
            <w:vAlign w:val="bottom"/>
          </w:tcPr>
          <w:p>
            <w:pPr>
              <w:spacing w:after="0"/>
              <w:rPr>
                <w:sz w:val="13"/>
                <w:szCs w:val="13"/>
                <w:color w:val="auto"/>
              </w:rPr>
            </w:pPr>
          </w:p>
        </w:tc>
        <w:tc>
          <w:tcPr>
            <w:tcW w:w="4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6,241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$90 million secured term loan at Avira</w:t>
            </w:r>
          </w:p>
        </w:tc>
        <w:tc>
          <w:tcPr>
            <w:tcW w:w="120" w:type="dxa"/>
            <w:vAlign w:val="bottom"/>
            <w:tcBorders>
              <w:bottom w:val="single" w:sz="8" w:color="CCEEFF"/>
            </w:tcBorders>
            <w:shd w:val="clear" w:color="auto" w:fill="CCEEFF"/>
          </w:tcPr>
          <w:p>
            <w:pPr>
              <w:spacing w:after="0"/>
              <w:rPr>
                <w:sz w:val="13"/>
                <w:szCs w:val="13"/>
                <w:color w:val="auto"/>
              </w:rPr>
            </w:pPr>
          </w:p>
        </w:tc>
        <w:tc>
          <w:tcPr>
            <w:tcW w:w="43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1,330</w:t>
            </w:r>
          </w:p>
        </w:tc>
        <w:tc>
          <w:tcPr>
            <w:tcW w:w="0" w:type="dxa"/>
            <w:vAlign w:val="bottom"/>
          </w:tcPr>
          <w:p>
            <w:pPr>
              <w:spacing w:after="0"/>
              <w:rPr>
                <w:sz w:val="1"/>
                <w:szCs w:val="1"/>
                <w:color w:val="auto"/>
              </w:rPr>
            </w:pPr>
          </w:p>
        </w:tc>
      </w:tr>
      <w:tr>
        <w:trPr>
          <w:trHeight w:val="165"/>
        </w:trPr>
        <w:tc>
          <w:tcPr>
            <w:tcW w:w="62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Decrease in capitalized interest on 3151 Market Street Venture</w:t>
            </w:r>
          </w:p>
        </w:tc>
        <w:tc>
          <w:tcPr>
            <w:tcW w:w="120" w:type="dxa"/>
            <w:vAlign w:val="bottom"/>
          </w:tcPr>
          <w:p>
            <w:pPr>
              <w:spacing w:after="0"/>
              <w:rPr>
                <w:sz w:val="14"/>
                <w:szCs w:val="14"/>
                <w:color w:val="auto"/>
              </w:rPr>
            </w:pPr>
          </w:p>
        </w:tc>
        <w:tc>
          <w:tcPr>
            <w:tcW w:w="4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8,513</w:t>
            </w:r>
          </w:p>
        </w:tc>
        <w:tc>
          <w:tcPr>
            <w:tcW w:w="0" w:type="dxa"/>
            <w:vAlign w:val="bottom"/>
          </w:tcPr>
          <w:p>
            <w:pPr>
              <w:spacing w:after="0"/>
              <w:rPr>
                <w:sz w:val="1"/>
                <w:szCs w:val="1"/>
                <w:color w:val="auto"/>
              </w:rPr>
            </w:pPr>
          </w:p>
        </w:tc>
      </w:tr>
      <w:tr>
        <w:trPr>
          <w:trHeight w:val="166"/>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Other interest expense</w:t>
            </w:r>
          </w:p>
        </w:tc>
        <w:tc>
          <w:tcPr>
            <w:tcW w:w="1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455</w:t>
            </w:r>
          </w:p>
        </w:tc>
        <w:tc>
          <w:tcPr>
            <w:tcW w:w="0" w:type="dxa"/>
            <w:vAlign w:val="bottom"/>
          </w:tcPr>
          <w:p>
            <w:pPr>
              <w:spacing w:after="0"/>
              <w:rPr>
                <w:sz w:val="1"/>
                <w:szCs w:val="1"/>
                <w:color w:val="auto"/>
              </w:rPr>
            </w:pPr>
          </w:p>
        </w:tc>
      </w:tr>
      <w:tr>
        <w:trPr>
          <w:trHeight w:val="166"/>
        </w:trPr>
        <w:tc>
          <w:tcPr>
            <w:tcW w:w="6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increases to interest expense</w:t>
            </w:r>
          </w:p>
        </w:tc>
        <w:tc>
          <w:tcPr>
            <w:tcW w:w="120" w:type="dxa"/>
            <w:vAlign w:val="bottom"/>
          </w:tcPr>
          <w:p>
            <w:pPr>
              <w:spacing w:after="0"/>
              <w:rPr>
                <w:sz w:val="14"/>
                <w:szCs w:val="14"/>
                <w:color w:val="auto"/>
              </w:rPr>
            </w:pPr>
          </w:p>
        </w:tc>
        <w:tc>
          <w:tcPr>
            <w:tcW w:w="43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38,814</w:t>
            </w:r>
          </w:p>
        </w:tc>
        <w:tc>
          <w:tcPr>
            <w:tcW w:w="0" w:type="dxa"/>
            <w:vAlign w:val="bottom"/>
          </w:tcPr>
          <w:p>
            <w:pPr>
              <w:spacing w:after="0"/>
              <w:rPr>
                <w:sz w:val="1"/>
                <w:szCs w:val="1"/>
                <w:color w:val="auto"/>
              </w:rPr>
            </w:pPr>
          </w:p>
        </w:tc>
      </w:tr>
      <w:tr>
        <w:trPr>
          <w:trHeight w:val="165"/>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Decreases to interest expense due to:</w:t>
            </w:r>
          </w:p>
        </w:tc>
        <w:tc>
          <w:tcPr>
            <w:tcW w:w="12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Repayment of $50 million Construction Loan due 2026</w:t>
            </w:r>
          </w:p>
        </w:tc>
        <w:tc>
          <w:tcPr>
            <w:tcW w:w="120" w:type="dxa"/>
            <w:vAlign w:val="bottom"/>
          </w:tcPr>
          <w:p>
            <w:pPr>
              <w:spacing w:after="0"/>
              <w:rPr>
                <w:sz w:val="13"/>
                <w:szCs w:val="13"/>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Repayment of the $245 million Secured Term Loan due 2028</w:t>
            </w:r>
          </w:p>
        </w:tc>
        <w:tc>
          <w:tcPr>
            <w:tcW w:w="120" w:type="dxa"/>
            <w:vAlign w:val="bottom"/>
            <w:tcBorders>
              <w:bottom w:val="single" w:sz="8" w:color="CCEEFF"/>
            </w:tcBorders>
            <w:shd w:val="clear" w:color="auto" w:fill="CCEEFF"/>
          </w:tcPr>
          <w:p>
            <w:pPr>
              <w:spacing w:after="0"/>
              <w:rPr>
                <w:sz w:val="13"/>
                <w:szCs w:val="13"/>
                <w:color w:val="auto"/>
              </w:rPr>
            </w:pPr>
          </w:p>
        </w:tc>
        <w:tc>
          <w:tcPr>
            <w:tcW w:w="4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(10,795)</w:t>
            </w:r>
          </w:p>
        </w:tc>
        <w:tc>
          <w:tcPr>
            <w:tcW w:w="0" w:type="dxa"/>
            <w:vAlign w:val="bottom"/>
          </w:tcPr>
          <w:p>
            <w:pPr>
              <w:spacing w:after="0"/>
              <w:rPr>
                <w:sz w:val="1"/>
                <w:szCs w:val="1"/>
                <w:color w:val="auto"/>
              </w:rPr>
            </w:pPr>
          </w:p>
        </w:tc>
      </w:tr>
      <w:tr>
        <w:trPr>
          <w:trHeight w:val="156"/>
        </w:trPr>
        <w:tc>
          <w:tcPr>
            <w:tcW w:w="62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Repayment of the $70 million Term Loan due 2025</w:t>
            </w:r>
          </w:p>
        </w:tc>
        <w:tc>
          <w:tcPr>
            <w:tcW w:w="120" w:type="dxa"/>
            <w:vAlign w:val="bottom"/>
          </w:tcPr>
          <w:p>
            <w:pPr>
              <w:spacing w:after="0"/>
              <w:rPr>
                <w:sz w:val="13"/>
                <w:szCs w:val="13"/>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$50 million repurchase of the 2028 Notes</w:t>
            </w:r>
          </w:p>
        </w:tc>
        <w:tc>
          <w:tcPr>
            <w:tcW w:w="120" w:type="dxa"/>
            <w:vAlign w:val="bottom"/>
            <w:tcBorders>
              <w:bottom w:val="single" w:sz="8" w:color="CCEEFF"/>
            </w:tcBorders>
            <w:shd w:val="clear" w:color="auto" w:fill="CCEEFF"/>
          </w:tcPr>
          <w:p>
            <w:pPr>
              <w:spacing w:after="0"/>
              <w:rPr>
                <w:sz w:val="13"/>
                <w:szCs w:val="13"/>
                <w:color w:val="auto"/>
              </w:rPr>
            </w:pPr>
          </w:p>
        </w:tc>
        <w:tc>
          <w:tcPr>
            <w:tcW w:w="4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w:t>
            </w:r>
          </w:p>
        </w:tc>
        <w:tc>
          <w:tcPr>
            <w:tcW w:w="0" w:type="dxa"/>
            <w:vAlign w:val="bottom"/>
          </w:tcPr>
          <w:p>
            <w:pPr>
              <w:spacing w:after="0"/>
              <w:rPr>
                <w:sz w:val="1"/>
                <w:szCs w:val="1"/>
                <w:color w:val="auto"/>
              </w:rPr>
            </w:pPr>
          </w:p>
        </w:tc>
      </w:tr>
      <w:tr>
        <w:trPr>
          <w:trHeight w:val="155"/>
        </w:trPr>
        <w:tc>
          <w:tcPr>
            <w:tcW w:w="62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$90 million repurchase of the 8.875% Guaranteed Notes Due 2029</w:t>
            </w:r>
          </w:p>
        </w:tc>
        <w:tc>
          <w:tcPr>
            <w:tcW w:w="120" w:type="dxa"/>
            <w:vAlign w:val="bottom"/>
          </w:tcPr>
          <w:p>
            <w:pPr>
              <w:spacing w:after="0"/>
              <w:rPr>
                <w:sz w:val="13"/>
                <w:szCs w:val="13"/>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decreases to interest expense</w:t>
            </w:r>
          </w:p>
        </w:tc>
        <w:tc>
          <w:tcPr>
            <w:tcW w:w="120" w:type="dxa"/>
            <w:vAlign w:val="bottom"/>
            <w:tcBorders>
              <w:bottom w:val="single" w:sz="8" w:color="auto"/>
            </w:tcBorders>
            <w:shd w:val="clear" w:color="auto" w:fill="CCEEFF"/>
          </w:tcPr>
          <w:p>
            <w:pPr>
              <w:spacing w:after="0"/>
              <w:rPr>
                <w:sz w:val="14"/>
                <w:szCs w:val="14"/>
                <w:color w:val="auto"/>
              </w:rPr>
            </w:pPr>
          </w:p>
        </w:tc>
        <w:tc>
          <w:tcPr>
            <w:tcW w:w="4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(14,064)</w:t>
            </w:r>
          </w:p>
        </w:tc>
        <w:tc>
          <w:tcPr>
            <w:tcW w:w="0" w:type="dxa"/>
            <w:vAlign w:val="bottom"/>
          </w:tcPr>
          <w:p>
            <w:pPr>
              <w:spacing w:after="0"/>
              <w:rPr>
                <w:sz w:val="1"/>
                <w:szCs w:val="1"/>
                <w:color w:val="auto"/>
              </w:rPr>
            </w:pPr>
          </w:p>
        </w:tc>
      </w:tr>
      <w:tr>
        <w:trPr>
          <w:trHeight w:val="175"/>
        </w:trPr>
        <w:tc>
          <w:tcPr>
            <w:tcW w:w="6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change in interest expense</w:t>
            </w: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24,750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 of Unconsolidated Real Estate Ventures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the loss is primarily due to the consolidation of 3025 JFK Venture and 3151 Market Street Venture in the fourth quarter of 2025, partially offset by a combined net loss on the Company's investment in the One Uptown Multi-Family Venture of $5.3 million during the third quarter of 2026. See Note 4, “Investment in Unconsolidated Real Estate Ventures," to our consolidated financial statements for further details.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early extinguishment of debt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the loss on early extinguishment of debt is primarily due to the retirement of the C-PACE loan and repurchases of the Company's 2028 Notes and its 8.875% Guaranteed Notes Due 2029. See Note 7, “Debt Obligations,” to our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liquidity funding needs for the next twelve months are as follows:</w:t>
      </w:r>
    </w:p>
    <w:p>
      <w:pPr>
        <w:spacing w:after="0" w:line="27" w:lineRule="exact"/>
        <w:rPr>
          <w:sz w:val="20"/>
          <w:szCs w:val="20"/>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recurring expenses;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including capital and tenant improvements and leasing costs;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principal repayment obligations;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development and redevelopment costs;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to unconsolidated real estate ventures and investment vehicles;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shareholders to maintain our REIT status;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acquisitions of properties, either directly or indirectly through the acquisition of equity interest therein; and</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common share repurchases.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satisfy these needs using one or more of the following:</w:t>
      </w:r>
    </w:p>
    <w:p>
      <w:pPr>
        <w:spacing w:after="0" w:line="27" w:lineRule="exact"/>
        <w:rPr>
          <w:sz w:val="20"/>
          <w:szCs w:val="20"/>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cash from our unconsolidated real estate ventures;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 balances;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under our Unsecured Credit Facility;</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construction loans and long-term unsecured indebtedness;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real estate or contributions of interests in real estate to joint ventures; and</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Parent Company equity securities and/or units of the Operating Partnership.</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2026, the Parent Company owned a 99.7% interest in the Operating Partnership. The remaining interest of approximately 0.3% pertains to common limited partnership interests owned by non-affiliated investors who contributed property to the Operating Partnership in exchange for their interests. As the sole general partner of the Operating Partnership, the Parent Company has full and complete responsibility for the Operating Partnership’s day-to-day operations and management. The Parent Company’s source of funding for its dividend payments and other obligations is the distributions it receives from the Operating Partnership.</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summarized above, we believe that our liquidity needs will be satisfied through available cash balances and cash flows from operations, financing activities and real estate sales. Rental revenue and other income from operations are our principal sources of cash to pay operating expenses, debt service, recurring capital expenditures and the minimum distributions required to maintain our REIT qualification. We seek to increase cash flows from our properties by maintaining quality standards for our properties that promote high occupancy rates and permit increases in rental rates while reducing tenant turnover and controlling operating expenses. Our revenue also includes third-party fees generated by our property management, leasing, development/redevelopment and construction businesses. We believe that our revenue, together with proceeds from property sales and debt financings, will continue to provide funds for our short-term liquidity needs. However, material changes in our operating or financing activities may adversely affect our net cash flows. With uncertain economic conditions, vacancy rates may increase, effective rental rates on new and renewed leases may decrease and tenant installation costs, including concessions, may increase in most or all of our markets during the remainder of 2026 and possibly beyond. As a result, our revenues and cash flows could be insufficient to cover operating expenses, including increased tenant installation costs, pay debt service or make distributions to shareholders over the short-term. If this situation were to occur, we expect that we would finance cash deficits through borrowings under our Unsecured Credit Facility and other sources of debt and equity financings. In addition, a material adverse change in cash provided by operations could adversely affect our compliance with financial performance covenants under our Unsecured Credit Facility, including unsecured term loans and unsecured notes.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outstanding 7.55% Guaranteed Notes due 2028 (the “2028 Notes”) include an interest rate adjustment provision whereby the interest rate payable on the 2028 Notes is subject to a 25 basis point adjustment if either Moody's Investors Services Inc, and its successors ("Moody's"), or S&amp;P Global Ratings, and its successors ("S&amp;P") downgrades (or subsequently upgrades) its rating assigned to the 2028 Notes. During the third quarter of 2023, Moody’s downgraded our senior unsecured credit rating from Baa3 to Ba1. As a result of the downgrade, the interest rate on the 2028 Notes increased 25 basis points to 7.80% in September 2023. In January 2024, S&amp;P downgraded our senior unsecured credit rating from BBB- to BB+. As a result of the downgrade, the interest rate on the 2028 Notes increased 25 basis points to 8.05% in March 2024. During the second quarter of 2024, Moody's downgraded our senior unsecured credit rating from Ba1 to Ba2. As a result of the downgrade, the interest rate on the 2028 Notes increased 25 basis points to 8.30% in April 2024 due to the coupon adjustment provisions within the 2028 Notes. During the first quarter of 2026, S&amp;P downgraded our senior unsecured credit rating from BB+ to BB-. As a result of the downgrade, the interest rate on the 2028 Notes increased 50 basis points to 8.80%, effective September 2026.</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26, 2025, the Company and the Operating Partnership amended their Unsecured Credit Facility to, among other things, amend the restricted payments covenant to permit the Operating Partnership to pay dividends and make distributions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attributable to any period of four consecutive fiscal quarters that ends (i) on any date that occurs after June 30, 2025 and on or prior to March 31, 2026, in an amount not to exceed, in the aggregate, the greater of (a) 100% of FFO attributable to such period or (b) the minimum amount necessary for the Company to maintain its REIT status and (ii) on April 1, 2026 or any date that occurs thereafter, in an amount not to exceed, in the aggregate, the greater of</w:t>
      </w:r>
    </w:p>
    <w:p>
      <w:pPr>
        <w:spacing w:after="0" w:line="1" w:lineRule="exact"/>
        <w:rPr>
          <w:sz w:val="20"/>
          <w:szCs w:val="20"/>
          <w:color w:val="auto"/>
        </w:rPr>
      </w:pPr>
    </w:p>
    <w:p>
      <w:pPr>
        <w:ind w:right="2080" w:firstLine="8"/>
        <w:spacing w:after="0" w:line="426"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FFO attributable to such period or (b) the minimum amount necessary for the Company to maintain its REIT status. As of September 30, 2026 we were in compliance with all of our debt covenants and requirement obligations.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29, 2026, we retired the $57.3 million Commercial Property Assessed Clean Energy ("C-PACE") financing for the development project at 3151 Market Street, prior to the disposition of the encumbered wholly-owned office property. In connection with the retirement, the Company recognized a net loss on early extinguishment of debt of approximately $6.3 million</w:t>
      </w:r>
      <w:r>
        <w:rPr>
          <w:rFonts w:ascii="Times New Roman" w:cs="Times New Roman" w:eastAsia="Times New Roman" w:hAnsi="Times New Roman"/>
          <w:sz w:val="14"/>
          <w:szCs w:val="14"/>
          <w:color w:val="auto"/>
        </w:rPr>
        <w: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2026, the Company repurchased $50 million of its 2028 Notes and $70 million of its 8.875% Guaranteed Notes Due 2029 pursuant to tender offers. In addition, the Company repurchased $20 million aggregate principal amount of its 8.875% Guaranteed Notes Due 2029 through open-market purchases. In connection with these repurchases, the Company recognized a net loss on early extinguishment of debt of approximately $9.2 million.</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ability to incur additional debt is dependent upon a number of factors, including our credit ratings, the value of our unencumbered assets, our degree of leverage and borrowing restrictions imposed by our lenders. If one or more rating agencies were to downgrade our unsecured credit rating, our access to the unsecured debt market would be more limited and the interest rate under our Unsecured Credit Facility and unsecured term loan would increase.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the date of this Form 10-Q, our senior unsecured credit ratings and outlook were as follows:</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189"/>
        </w:trPr>
        <w:tc>
          <w:tcPr>
            <w:tcW w:w="6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30"/>
        </w:trPr>
        <w:tc>
          <w:tcPr>
            <w:tcW w:w="6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960"/>
              <w:spacing w:after="0"/>
              <w:rPr>
                <w:sz w:val="20"/>
                <w:szCs w:val="20"/>
                <w:color w:val="auto"/>
              </w:rPr>
            </w:pPr>
            <w:r>
              <w:rPr>
                <w:rFonts w:ascii="Times New Roman" w:cs="Times New Roman" w:eastAsia="Times New Roman" w:hAnsi="Times New Roman"/>
                <w:sz w:val="18"/>
                <w:szCs w:val="18"/>
                <w:color w:val="auto"/>
                <w:w w:val="99"/>
              </w:rPr>
              <w:t>Moody's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S&amp;P</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7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rPr>
              <w:t>Ba2</w:t>
            </w:r>
          </w:p>
        </w:tc>
        <w:tc>
          <w:tcPr>
            <w:tcW w:w="28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820" w:type="dxa"/>
            <w:vAlign w:val="bottom"/>
            <w:gridSpan w:val="2"/>
            <w:shd w:val="clear" w:color="auto" w:fill="CCEEFF"/>
          </w:tcPr>
          <w:p>
            <w:pPr>
              <w:jc w:val="center"/>
              <w:ind w:right="960"/>
              <w:spacing w:after="0"/>
              <w:rPr>
                <w:sz w:val="20"/>
                <w:szCs w:val="20"/>
                <w:color w:val="auto"/>
              </w:rPr>
            </w:pPr>
            <w:r>
              <w:rPr>
                <w:rFonts w:ascii="Times New Roman" w:cs="Times New Roman" w:eastAsia="Times New Roman" w:hAnsi="Times New Roman"/>
                <w:sz w:val="18"/>
                <w:szCs w:val="18"/>
                <w:color w:val="auto"/>
              </w:rPr>
              <w:t>Stable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bl>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our credit ratings are lowered further, our ability to access the public debt markets, our costs of funds, and other terms for new debt issuances could be adversely impacted. Each of the credit ratings agencies reviews its ratings periodically and there is no guarantee our current credit ratings will remain the same.</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Parent Company unconditionally guarantees the Operating Partnership’s unsecured debt obligations, which, as of September 30, 2026, amounted to $2,325.6 million. The Operating Partnership’s secured debt obligations as of September 30, 2026, amounted to $89.8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Markets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Parent Company issues equity from time to time, the proceeds of which it contributes to the Operating Partnership in exchange for additional interests in the Operating Partnership, and guarantees debt obligations of the Operating Partnership. The Parent Company’s ability to sell common shares and preferred shares is dependent on, among other things, general market conditions for REITs, market perceptions about the Company as a whole and the current trading price of the Parent Company’s shares. The Parent Company maintains a shelf registration statement that covers the offering and sale of common shares, preferred shares, depositary shares, warrants and unsecured debt securities. Subject to our ongoing compliance with securities laws, and if warranted by market conditions, we may offer and sell equity and debt securities from time to time under the shelf registration statement or in transactions exempt from registration.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 Note 11, “Beneficiaries' Equity of the Parent Company,” to our consolidated financial statements for further information related to our share repurchase program. We expect to fund any additional share repurchases with a combination of available cash balances and availability under our Unsecured Credit Facility. The timing and amounts of any repurchases will depend on a variety of factors, including market conditions, regulatory requirements, share prices, capital availability and other factors as determined by our management team. The repurchase program does not require the purchase of any minimum number of shares and may be suspended or discontinued at any time without notice.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we had $312.7 million of cash and cash equivalents and $437.9 million of available borrowings under our Unsecured Credit Facility, net of $25.1 million in letters of credit outstanding. Based on the foregoing, as well as cash flows from operations net of dividend requirements, we believe we have sufficient capital to fund our remaining capital requirements on existing development and redevelopment projects and pursue additional attractive investment opportunities.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primary uses of capital during the remainder of 2026 will be to fund our current development and redevelopment projects.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of our cash flows is based on the consolidated statement of cash flows and is not meant to be a comprehensive discussion of the changes in our cash flows for the periods presented.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we maintained cash and cash equivalents and restricted cash of $313.7 million and $62.3 million, respectively. We report and analyze our cash flows based on operating activities, investing activities, and financing activities. The following table summarizes changes in our cash flows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jc w:val="center"/>
              <w:ind w:right="2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70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Activity</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Variance</w:t>
            </w:r>
          </w:p>
        </w:tc>
      </w:tr>
      <w:tr>
        <w:trPr>
          <w:trHeight w:val="223"/>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84,357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center"/>
              <w:ind w:left="290"/>
              <w:spacing w:after="0"/>
              <w:rPr>
                <w:sz w:val="20"/>
                <w:szCs w:val="20"/>
                <w:color w:val="auto"/>
              </w:rPr>
            </w:pPr>
            <w:r>
              <w:rPr>
                <w:rFonts w:ascii="Times New Roman" w:cs="Times New Roman" w:eastAsia="Times New Roman" w:hAnsi="Times New Roman"/>
                <w:sz w:val="18"/>
                <w:szCs w:val="18"/>
                <w:color w:val="auto"/>
              </w:rPr>
              <w:t>88,167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(81,072)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469,885</w:t>
            </w:r>
          </w:p>
        </w:tc>
      </w:tr>
      <w:tr>
        <w:trPr>
          <w:trHeight w:val="23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(221,775)</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w w:val="97"/>
              </w:rPr>
              <w:t>(26,744)</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(195,031)</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251,395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7"/>
              </w:rPr>
              <w:t>(19,649)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271,044</w:t>
            </w: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source of cash flows is from the leasing of space at our Properties. Our Properties provide a relatively consistent stream of cash flows that provides us with the resources to fund operating expenses, debt service and quarterly dividends.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is used in investing activities to fund acquisitions, development, or redevelopment projects and recurring and nonrecurring capital expenditures. We selectively invest in new projects that we expect will enable us to take advantage of our development/redevelopment, leasing, financing, and property management skills and invest in existing buildings that meet our investment criteria for additional capital. During the nine months ended September 30, 2026, when compared to the nine months ended September 30, 2025, the change in investing cash flows was due to the following activities (in thousands):</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(Increase) Decrease</w:t>
            </w:r>
          </w:p>
        </w:tc>
      </w:tr>
      <w:tr>
        <w:trPr>
          <w:trHeight w:val="223"/>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of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30"/>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and capitalized interest</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w:t>
            </w:r>
          </w:p>
        </w:tc>
      </w:tr>
      <w:tr>
        <w:trPr>
          <w:trHeight w:val="229"/>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improvements/acquisition deposits/leasing costs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30"/>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Unconsolidated real estate venture investments</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15,868</w:t>
            </w:r>
          </w:p>
        </w:tc>
      </w:tr>
      <w:tr>
        <w:trPr>
          <w:trHeight w:val="230"/>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sale of properties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456,100</w:t>
            </w:r>
          </w:p>
        </w:tc>
      </w:tr>
      <w:tr>
        <w:trPr>
          <w:trHeight w:val="230"/>
        </w:trPr>
        <w:tc>
          <w:tcPr>
            <w:tcW w:w="9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 distributions from unconsolidated real estate ventures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18,958</w:t>
            </w:r>
          </w:p>
        </w:tc>
      </w:tr>
      <w:tr>
        <w:trPr>
          <w:trHeight w:val="248"/>
        </w:trPr>
        <w:tc>
          <w:tcPr>
            <w:tcW w:w="9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cash provided by investing activities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469,885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fund our investment activity through the sale of real estate, property-level financing, unsecured and secured credit facilities, senior unsecured notes, and construction loans. From time to time, we may issue common or preferred shares of beneficial interest, or the Operating Partnership may issue common or preferred units of limited partnership interest. During the nine months ended September 30, 2026, when compared to the nine months ended September 30, 2025, the change in financing cash flows was due to the following activities (in thousands):</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3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(Increase) Decrease</w:t>
            </w:r>
          </w:p>
        </w:tc>
      </w:tr>
      <w:tr>
        <w:trPr>
          <w:trHeight w:val="223"/>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debt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302,364</w:t>
            </w:r>
          </w:p>
        </w:tc>
      </w:tr>
      <w:tr>
        <w:trPr>
          <w:trHeight w:val="230"/>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debt obligations</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(520,104)</w:t>
            </w:r>
          </w:p>
        </w:tc>
      </w:tr>
      <w:tr>
        <w:trPr>
          <w:trHeight w:val="229"/>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and retirement of common shares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w:t>
            </w:r>
          </w:p>
        </w:tc>
      </w:tr>
      <w:tr>
        <w:trPr>
          <w:trHeight w:val="230"/>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Dividends and distributions paid</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36,379</w:t>
            </w:r>
          </w:p>
        </w:tc>
      </w:tr>
      <w:tr>
        <w:trPr>
          <w:trHeight w:val="230"/>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costs paid</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30"/>
        </w:trPr>
        <w:tc>
          <w:tcPr>
            <w:tcW w:w="9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48"/>
        </w:trPr>
        <w:tc>
          <w:tcPr>
            <w:tcW w:w="9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cash used in financing activities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(195,031)</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Indebtedness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secured and unsecured debt at September 30, 2026 and December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September 30, 2026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07"/>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gridSpan w:val="4"/>
          </w:tcPr>
          <w:p>
            <w:pPr>
              <w:jc w:val="right"/>
              <w:ind w:right="1239"/>
              <w:spacing w:after="0"/>
              <w:rPr>
                <w:sz w:val="20"/>
                <w:szCs w:val="20"/>
                <w:color w:val="auto"/>
              </w:rPr>
            </w:pPr>
            <w:r>
              <w:rPr>
                <w:rFonts w:ascii="Times New Roman" w:cs="Times New Roman" w:eastAsia="Times New Roman" w:hAnsi="Times New Roman"/>
                <w:sz w:val="16"/>
                <w:szCs w:val="16"/>
                <w:color w:val="auto"/>
              </w:rPr>
              <w:t>(dollars in thousands)</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Balance: </w:t>
            </w:r>
            <w:r>
              <w:rPr>
                <w:rFonts w:ascii="Times New Roman" w:cs="Times New Roman" w:eastAsia="Times New Roman" w:hAnsi="Times New Roman"/>
                <w:sz w:val="16"/>
                <w:szCs w:val="16"/>
                <w:color w:val="auto"/>
              </w:rPr>
              <w:t>(a)</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9"/>
        </w:trPr>
        <w:tc>
          <w:tcPr>
            <w:tcW w:w="7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Fixed rate (b) (c) (e)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2,278,409</w:t>
            </w:r>
          </w:p>
        </w:tc>
        <w:tc>
          <w:tcPr>
            <w:tcW w:w="100" w:type="dxa"/>
            <w:vAlign w:val="bottom"/>
            <w:shd w:val="clear" w:color="auto" w:fill="CFF0FC"/>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2,385,934</w:t>
            </w:r>
          </w:p>
        </w:tc>
      </w:tr>
      <w:tr>
        <w:trPr>
          <w:trHeight w:val="213"/>
        </w:trPr>
        <w:tc>
          <w:tcPr>
            <w:tcW w:w="72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Variable rate (d)</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137,000</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178,014</w:t>
            </w:r>
          </w:p>
        </w:tc>
      </w:tr>
      <w:tr>
        <w:trPr>
          <w:trHeight w:val="219"/>
        </w:trPr>
        <w:tc>
          <w:tcPr>
            <w:tcW w:w="72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2,415,409</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2,563,948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Percent of Total Debt:</w:t>
            </w: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94.3 %</w:t>
            </w:r>
          </w:p>
        </w:tc>
        <w:tc>
          <w:tcPr>
            <w:tcW w:w="100" w:type="dxa"/>
            <w:vAlign w:val="bottom"/>
            <w:shd w:val="clear" w:color="auto" w:fill="CFF0FC"/>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93.1 %</w:t>
            </w:r>
          </w:p>
        </w:tc>
        <w:tc>
          <w:tcPr>
            <w:tcW w:w="0" w:type="dxa"/>
            <w:vAlign w:val="bottom"/>
          </w:tcPr>
          <w:p>
            <w:pPr>
              <w:spacing w:after="0"/>
              <w:rPr>
                <w:sz w:val="1"/>
                <w:szCs w:val="1"/>
                <w:color w:val="auto"/>
              </w:rPr>
            </w:pPr>
          </w:p>
        </w:tc>
      </w:tr>
      <w:tr>
        <w:trPr>
          <w:trHeight w:val="213"/>
        </w:trPr>
        <w:tc>
          <w:tcPr>
            <w:tcW w:w="72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Variable rate - unhedged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Borders>
              <w:bottom w:val="single" w:sz="8" w:color="CFF0FC"/>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34"/>
        </w:trPr>
        <w:tc>
          <w:tcPr>
            <w:tcW w:w="72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FF0FC"/>
            </w:tcBorders>
            <w:shd w:val="clear" w:color="auto" w:fill="CFF0FC"/>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72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Weighted-average interest rate at period end:</w:t>
            </w:r>
          </w:p>
        </w:tc>
        <w:tc>
          <w:tcPr>
            <w:tcW w:w="1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00" w:type="dxa"/>
            <w:vAlign w:val="bottom"/>
            <w:vMerge w:val="continue"/>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shd w:val="clear" w:color="auto" w:fill="CFF0FC"/>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Variable rate - unhedged</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19"/>
        </w:trPr>
        <w:tc>
          <w:tcPr>
            <w:tcW w:w="7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shd w:val="clear" w:color="auto" w:fill="CFF0FC"/>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15"/>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Weighted-average maturity in years: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1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FF0FC"/>
          </w:tcPr>
          <w:p>
            <w:pPr>
              <w:spacing w:after="0"/>
              <w:rPr>
                <w:sz w:val="18"/>
                <w:szCs w:val="18"/>
                <w:color w:val="auto"/>
              </w:rPr>
            </w:pPr>
          </w:p>
        </w:tc>
        <w:tc>
          <w:tcPr>
            <w:tcW w:w="1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Variable rate - unhedged</w:t>
            </w:r>
          </w:p>
        </w:tc>
        <w:tc>
          <w:tcPr>
            <w:tcW w:w="1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9"/>
        </w:trPr>
        <w:tc>
          <w:tcPr>
            <w:tcW w:w="7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FF0FC"/>
          </w:tcPr>
          <w:p>
            <w:pPr>
              <w:spacing w:after="0"/>
              <w:rPr>
                <w:sz w:val="19"/>
                <w:szCs w:val="19"/>
                <w:color w:val="auto"/>
              </w:rPr>
            </w:pPr>
          </w:p>
        </w:tc>
        <w:tc>
          <w:tcPr>
            <w:tcW w:w="1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unpaid principal and does not reflect premium/discount or deferred financing costs.</w:t>
      </w:r>
    </w:p>
    <w:p>
      <w:pPr>
        <w:spacing w:after="0" w:line="27" w:lineRule="exact"/>
        <w:rPr>
          <w:rFonts w:ascii="Times New Roman" w:cs="Times New Roman" w:eastAsia="Times New Roman" w:hAnsi="Times New Roman"/>
          <w:sz w:val="14"/>
          <w:szCs w:val="14"/>
          <w:color w:val="auto"/>
        </w:rPr>
      </w:pPr>
    </w:p>
    <w:p>
      <w:pPr>
        <w:ind w:left="660" w:right="20" w:hanging="652"/>
        <w:spacing w:after="0" w:line="261" w:lineRule="auto"/>
        <w:tabs>
          <w:tab w:leader="none" w:pos="6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23, 2022, the $250.0 million unsecured term loan was swapped to a fixed rate. At September 30, 2026, the fixed rate for this instrument was 5.41% and matures on June 30, 2027. The effective date of the swap was January 31, 2023.</w:t>
      </w:r>
    </w:p>
    <w:p>
      <w:pPr>
        <w:ind w:left="660" w:right="20" w:hanging="652"/>
        <w:spacing w:after="0" w:line="254" w:lineRule="auto"/>
        <w:tabs>
          <w:tab w:leader="none" w:pos="6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16, 2024, the Trust Preferred I Indenture IA was swapped to a fixed rate at 5.14% for the period from March 30, 2024 to December 30, 2026 and Trust Preferred I Indenture IB and Trust Preferred II Indenture II were swapped to a fixed rate at 5.24% for the period from January 30, 2024 to January 30, 2027.</w:t>
      </w:r>
    </w:p>
    <w:p>
      <w:pPr>
        <w:jc w:val="both"/>
        <w:ind w:left="660" w:hanging="652"/>
        <w:spacing w:after="0" w:line="260" w:lineRule="auto"/>
        <w:tabs>
          <w:tab w:leader="none" w:pos="6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consolidated the $178 million construction loan as a result of the recapitalization of 3025 JFK joint venture during the fourth quarter of 2025. The construction loan has a stated interest rate of SOFR + 3.6%. On July 22, 2025, the Company entered into an interest rate cap agreement of 3% on the loan. With the interest rate cap in-place, the maximum interest rate due is 6.60%. On June 23, 2026, the Company retired the $178 million construction loan.</w:t>
      </w:r>
    </w:p>
    <w:p>
      <w:pPr>
        <w:ind w:left="660" w:hanging="652"/>
        <w:spacing w:after="0" w:line="263" w:lineRule="auto"/>
        <w:tabs>
          <w:tab w:leader="none" w:pos="65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24, 2026, the Company closed on a $90 million secured term loan at Avira, the residential component of 3025 JFK, located in Philadelphia, Pennsylvania. The loan has a stated interest rate of SOFR + 1.85% and an initial maturity date of June 2033. On June 24, 2026, the loan was swapped to a fixed rate at 5.81% through the maturity date.</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Scheduled principal payments and related weighted average annual effective interest rates for our debt as of September 30, 2026, were as follows (dollars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Weighted Average Interest</w:t>
            </w:r>
          </w:p>
        </w:tc>
      </w:tr>
      <w:tr>
        <w:trPr>
          <w:trHeight w:val="234"/>
        </w:trPr>
        <w:tc>
          <w:tcPr>
            <w:tcW w:w="6660" w:type="dxa"/>
            <w:vAlign w:val="bottom"/>
            <w:gridSpan w:val="2"/>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Period</w:t>
            </w:r>
          </w:p>
        </w:tc>
        <w:tc>
          <w:tcPr>
            <w:tcW w:w="24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maturities</w:t>
            </w:r>
          </w:p>
        </w:tc>
        <w:tc>
          <w:tcPr>
            <w:tcW w:w="2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Rate of Maturing Debt</w:t>
            </w:r>
          </w:p>
        </w:tc>
      </w:tr>
      <w:tr>
        <w:trPr>
          <w:trHeight w:val="223"/>
        </w:trPr>
        <w:tc>
          <w:tcPr>
            <w:tcW w:w="6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(three months remaining)</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837,000</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810,000</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468,409</w:t>
            </w:r>
          </w:p>
        </w:tc>
        <w:tc>
          <w:tcPr>
            <w:tcW w:w="120" w:type="dxa"/>
            <w:vAlign w:val="bottom"/>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3"/>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2,415,409</w:t>
            </w:r>
          </w:p>
        </w:tc>
        <w:tc>
          <w:tcPr>
            <w:tcW w:w="120" w:type="dxa"/>
            <w:vAlign w:val="bottom"/>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Unsecured Debt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Partnership is the issuer of our unsecured notes which are fully and unconditionally guaranteed by the Parent Company. The indenture under which the Operating Partnership issued its unsecured notes contains financial covenants, including: (i) a leverage ratio not to exceed 60%; (ii) a secured debt leverage ratio not to exceed 40%; (iii) a debt service coverage ratio of greater than 1.5 to 1.0; and (iv) an unencumbered asset value of not less than 150% of unsecured debt. The Operating Partnership was in compliance with all covenants as of September 30, 2026.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charter documents of the Parent Company and Operating Partnership do not limit the amount or form of indebtedness that the Operating Partnership may incur, and its policies on debt incurrence are solely within the discretion of the Parent Company’s Board of Trustees, subject to the financial covenants in the credit agreement for our Unsecured Credit Facility, the indenture for our unsecured notes and in our other credit agreements.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maintain its qualification as a REIT, the Parent Company is required to, among other things, pay dividends to its shareholders of at least 90% of its REIT taxable income. See Note 11, “Beneficiaries' Equity of the Parent Company,” to our consolidated financial statements for further information related to our dividends declared for the third quarter of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Inflation and Lease Pass-Through Provisions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our leases are structured as base year or triple net leases which provide for reimbursement billings for operating expense pass-through charges, real estate tax and insurance reimbursements on a per square-foot basis, or in some cases, annual reimbursement of operating expenses above certain per square-foot allowances. In addition, as of September 30, 2026, approximately 96% of our leases (as a percentage of the aggregate net rentable square feet of our wholly-owned portfolio) contained annual rent escalations that are either fixed (generally ranging from 2.0% to 3.75% per lease year) or indexed based on a consumer price index or other indices. We believe such lease provisions mitigate adverse impacts of inflation on our earnings from real estate operations. However, recent inflation and higher interest rates have caused an increase in our borrowing costs, including on our variable rate debt, and on our operating expenses that are not subject to the lease pass-through provisions.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higher operating costs due to increased inflation, resulting in our Same Store Property Portfolio operating margins decreasing to 62.0% and 61.6% for the three months and nine months ended September 30, 2026, respectively, from 63.4% and 63.3% for the three months and nine months ended September 30, 2025, respectively. The expense reimbursement provisions in our leases resulted in Same Store Property Portfolio operating expense recovery rates of 55.6% and 55.3% for the three months ended September 30, 2026 and 2025, respectively and 55.2% and 54.8% for the nine months ended September 30, 2026 and 2025,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Contractual Obligations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customary guarantees for certain development projects of our unconsolidated real estate ventures. See Note 14, “Commitments and Contingencies,” to our Consolidated Financial Statements for further details on payment guarantees provided on behalf of our real estate ventures and refer to our Annual Report on Form 10-K for the year ended December 31, 2025 for a discussion of our contractual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Funds from Operations (“FFO”) and Core Funds from Operations ("Core FFO")</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revised definition of FFO adopted by the Board of Governors of the National Association of Real Estate Investment Trusts (“NAREIT”), we calculate FFO by adjusting net income (loss) attributable to common unit holders (computed in accordance with GAAP) for gains (or losses) from sales of properties, impairment losses on depreciable consolidated real estate, impairment losses on investments in unconsolidated real estate ventures driven by a measurable decrease in the fair value of depreciable real estate held by the unconsolidated real estate ventures, real estate related depreciation and amortization, and after similar adjustments for unconsolidated real estate ventures. Our calculation of FFO includes gains from sale of undepreciated real estate and other assets, considered incidental to our main business, to third parties or unconsolidated real estate ventures.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Core FFO is a computation made by analysts and investors to measure a real estate company’s operating performance by removing the effect of items that do not reflect ongoing property operations, including items such as (gains) losses from sales of non-depreciable land and debt extinguishment costs from the determination of FFO.</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FFO and Core FFO are non-GAAP financial measures. We believe that the use of FFO and Core FFO, combined with the required GAAP presentations, have been beneficial in improving the understanding of operating results of REITs among the investing public and making comparisons of REITs’ operating results more meaningful. We consider FFO to be a useful measure for reviewing comparative operating and financial performance because, by excluding property impairments, gains or losses related to sales of previously depreciated operating real estate assets and real estate depreciation and amortization, FFO can help the investing public compare the operating performance of a company’s real estate between periods or as compared to other companies. We consider Core FFO to be a useful measure to reflect a real estate company’s operating performance by its reoccurring ongoing property operations. Our computation of FFO may not be comparable to FFO reported by other REITs or real estate companies that do not define the term in accordance with the current NAREIT definition or that interpret the current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NAREIT definition differently. Our calculation of Core FFO may differ from the methodology used for calculating Core FFO by other REITs and, accordingly, our Core FFO may not be comparable to Core FFO reported by other REITs.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net income, as defined by GAAP, to be the most comparable earnings measure to FFO and Core FFO. While FFO, Core FFO, FFO per unit, and Core FFO per unit are relevant and widely used measures of operating performance of REITs, neither FFO nor Core FFO represent cash flow from operations or net income as defined by GAAP and should not be considered as alternatives to those measures in evaluating our liquidity or operating performance. We believe that to further understand our performance, FFO and Core FFO should be compared with our reported net income/(loss) attributable to common unit holders and considered in addition to cash flows in accordance with GAAP, as presented in our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attributable to common unitholders to FFO and Core FFO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40" w:type="dxa"/>
            <w:vAlign w:val="bottom"/>
          </w:tcPr>
          <w:p>
            <w:pPr>
              <w:spacing w:after="0"/>
              <w:rPr>
                <w:sz w:val="20"/>
                <w:szCs w:val="20"/>
                <w:color w:val="auto"/>
              </w:rPr>
            </w:pPr>
          </w:p>
        </w:tc>
        <w:tc>
          <w:tcPr>
            <w:tcW w:w="27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80" w:type="dxa"/>
            <w:vAlign w:val="bottom"/>
            <w:gridSpan w:val="9"/>
          </w:tcPr>
          <w:p>
            <w:pPr>
              <w:jc w:val="right"/>
              <w:ind w:right="10"/>
              <w:spacing w:after="0"/>
              <w:rPr>
                <w:sz w:val="20"/>
                <w:szCs w:val="20"/>
                <w:color w:val="auto"/>
              </w:rPr>
            </w:pPr>
            <w:r>
              <w:rPr>
                <w:rFonts w:ascii="Times New Roman" w:cs="Times New Roman" w:eastAsia="Times New Roman" w:hAnsi="Times New Roman"/>
                <w:sz w:val="18"/>
                <w:szCs w:val="18"/>
                <w:color w:val="auto"/>
              </w:rPr>
              <w:t>(amounts in thousands, except share information)</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unitholders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(143,053)</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 allocated to unvested restricted unitholders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(gain) loss on real estate venture transactions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 on disposition of real estate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63,369</w:t>
            </w:r>
          </w:p>
        </w:tc>
        <w:tc>
          <w:tcPr>
            <w:tcW w:w="0" w:type="dxa"/>
            <w:vAlign w:val="bottom"/>
          </w:tcPr>
          <w:p>
            <w:pPr>
              <w:spacing w:after="0"/>
              <w:rPr>
                <w:sz w:val="1"/>
                <w:szCs w:val="1"/>
                <w:color w:val="auto"/>
              </w:rPr>
            </w:pPr>
          </w:p>
        </w:tc>
      </w:tr>
      <w:tr>
        <w:trPr>
          <w:trHeight w:val="176"/>
        </w:trPr>
        <w:tc>
          <w:tcPr>
            <w:tcW w:w="53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Company's share of impairment of an unconsolidated real estate</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53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venture</w:t>
            </w:r>
          </w:p>
        </w:tc>
        <w:tc>
          <w:tcPr>
            <w:tcW w:w="160" w:type="dxa"/>
            <w:vAlign w:val="bottom"/>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32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property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114,878</w:t>
            </w: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Leasing costs including acquired intangibles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Company’s share of unconsolidated real estate ventures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Partners’ share of consolidated real estate ventures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79,843</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Funds from operations allocable to unvested restricted shareholders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 available to common share and unit 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52,724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78,806</w:t>
            </w:r>
          </w:p>
        </w:tc>
        <w:tc>
          <w:tcPr>
            <w:tcW w:w="0" w:type="dxa"/>
            <w:vAlign w:val="bottom"/>
          </w:tcPr>
          <w:p>
            <w:pPr>
              <w:spacing w:after="0"/>
              <w:rPr>
                <w:sz w:val="1"/>
                <w:szCs w:val="1"/>
                <w:color w:val="auto"/>
              </w:rPr>
            </w:pPr>
          </w:p>
        </w:tc>
      </w:tr>
      <w:tr>
        <w:trPr>
          <w:trHeight w:val="149"/>
        </w:trPr>
        <w:tc>
          <w:tcPr>
            <w:tcW w:w="5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(FFO)</w:t>
            </w: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market, transactional items and other:</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Core Funds from Operations (Core FFO)</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24,555</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28,031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68,165</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78,806</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shares/units outstanding — basic (a)</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172,525,823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174,214,907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173,893,052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173,900,925</w:t>
            </w: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shares/units outstanding — fully diluted (a)</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179,426,959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178,984,473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180,485,496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178,630,855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common shares and partnership units outstanding through the three and nine months ended September 30, 2026 and 2025, respectively.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commodity prices and equity prices. In pursuing our business plan, the primary market risk to which we are exposed is interest rate risk. Changes in the general level of interest rates prevailing in the financial markets may affect the spread between our yield on invested assets and cost of funds and, in turn, our ability to make distributions or payments to our shareholders. While we have not experienced any significant credit losses, in the event of a significant rising interest rate environment and/or continued economic slowdown, defaults could increase and result in losses to us which would adversely affect our operating results and liquidity.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Rate Risk and Sensitivity Analysis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analysis below presents the sensitivity of the market value of the Operating Partnership’s financial instruments to selected changes in market rates. The range of changes chosen reflects its view of changes which are reasonably possible over a one-year period. Market values are the present value of projected future cash flows based on the market rates chosen.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financial instruments consist of both fixed and variable rate debt. As of September 30, 2026, our consolidated debt consisted of (i) unsecured notes with an outstanding principal balance of $1,860.0 million, all of which are fixed rate borrowings, (ii) variable rate debt consisting of trust preferred securities that have been swapped to fixed rates with an outstanding principal balance of $78.6 million, (iii) a $600.0 million revolving credit facility with an outstanding balance of $137.0 million, (iv) a secured term loan at Avira, the residential component of 3025 JFK with an outstanding balance of $89.8 million that has been swapped to a fixed rate and (v) one unsecured term loan of $250.0 million that has been swapped to a fixed rate. All financial instruments were entered into for other than trading purposes and the net market value of these financial instruments is referred to as the net financial position. Changes in interest rates have different impacts on the fixed and variable rate portions of our debt portfolio. A change in interest rates on the fixed portion of the debt portfolio impacts the net financial instrument position, but has no impact on interest incurred or cash flows. A change in interest rates on the variable portion of the debt portfolio impacts the interest incurred and cash flows, but does not impact the net financial instrument position.</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market rates of interest increase by 100 basis points, the fair value of our outstanding secured fixed rate debt would decrease by approximately $4.4 million. If market rates of interest decrease by 100 basis points, the fair value of our outstanding secured fixed rate debt would increase by approximately $4.7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based on prevailing interest rates and credit spreads, the fair value of our unsecured notes was $1,822.6 million. For sensitivity purposes, a 100-basis point change in the third-party pricing equates to a change in the total fair value of our debt of approximately $18.6 million at September 30, 2026.</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or as the need arises, we use derivative instruments to manage interest rate risk exposures and not for speculative or trading purposes. The total outstanding principal balance of our variable rate debt was approximately $555.4 million as of September 30, 2026. The total fair value of our variable rate debt was approximately $540.1 million at September 30, 2026. For sensitivity purposes, if market rates of interest increase by 100 basis points the fair value of our variable rate debt would decrease by approximately $11.2 million at September 30, 2026. If market rates of interest decrease by 100 basis points the fair value of our outstanding variable rate debt would increase by approximately $11.9 million at September 30, 2026.</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Controls and Procedures (Parent Company)</w:t>
      </w:r>
    </w:p>
    <w:p>
      <w:pPr>
        <w:spacing w:after="0" w:line="119" w:lineRule="exact"/>
        <w:rPr>
          <w:sz w:val="20"/>
          <w:szCs w:val="20"/>
          <w:color w:val="auto"/>
        </w:rPr>
      </w:pPr>
    </w:p>
    <w:p>
      <w:pPr>
        <w:jc w:val="both"/>
        <w:ind w:left="660" w:hanging="652"/>
        <w:spacing w:after="0" w:line="257"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Under the supervision and with the participation of its management, including its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principal financial officer, the Parent Company conducted an evaluation of its disclosure controls and procedures, as such term is defined under Rule 13a-15(e) promulgated under the Securities Exchange Act of 1934, as amended (the Exchange Act), as of the end of the period covered by this quarterly report. Based on this evaluation, the Parent Company’s principal executive officer and principal financial officer have concluded that the Parent Company’s disclosure controls and procedures are effective as of the end of the period covered by this quarterly report.</w:t>
      </w:r>
    </w:p>
    <w:p>
      <w:pPr>
        <w:spacing w:after="0" w:line="74" w:lineRule="exact"/>
        <w:rPr>
          <w:rFonts w:ascii="Times New Roman" w:cs="Times New Roman" w:eastAsia="Times New Roman" w:hAnsi="Times New Roman"/>
          <w:sz w:val="18"/>
          <w:szCs w:val="18"/>
          <w:color w:val="auto"/>
        </w:rPr>
      </w:pPr>
    </w:p>
    <w:p>
      <w:pPr>
        <w:jc w:val="both"/>
        <w:ind w:left="660" w:hanging="652"/>
        <w:spacing w:after="0" w:line="267"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was no change in the Parent Company’s internal control over financial reporting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during the period covered by this quarterly report that has materially affected, or is reasonably likely to materially affect, the Parent Company’s internal control over financial reporting.</w:t>
      </w:r>
    </w:p>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Controls and Procedures (Operating Partnership)</w:t>
      </w:r>
    </w:p>
    <w:p>
      <w:pPr>
        <w:spacing w:after="0" w:line="119" w:lineRule="exact"/>
        <w:rPr>
          <w:sz w:val="20"/>
          <w:szCs w:val="20"/>
          <w:color w:val="auto"/>
        </w:rPr>
      </w:pPr>
    </w:p>
    <w:p>
      <w:pPr>
        <w:jc w:val="both"/>
        <w:ind w:left="660" w:hanging="652"/>
        <w:spacing w:after="0" w:line="258" w:lineRule="auto"/>
        <w:tabs>
          <w:tab w:leader="none" w:pos="6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Under the supervision and with the participation of its management, including its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principal financial officer, the Operating Partnership conducted an evaluation of its disclosure controls and procedures, as such term is defined under Rule 13a-15(e) promulgated under the Exchange Act as of the end of the period covered by this quarterly report. Based on this evaluation, the Operating Partnership’s principal executive officer and principal financial officer have concluded that the Operating Partnership’s disclosure controls and procedures are effective as of the end of the period covered by this quarterly report.</w:t>
      </w:r>
    </w:p>
    <w:p>
      <w:pPr>
        <w:spacing w:after="0" w:line="75" w:lineRule="exact"/>
        <w:rPr>
          <w:rFonts w:ascii="Times New Roman" w:cs="Times New Roman" w:eastAsia="Times New Roman" w:hAnsi="Times New Roman"/>
          <w:sz w:val="18"/>
          <w:szCs w:val="18"/>
          <w:color w:val="auto"/>
        </w:rPr>
      </w:pPr>
    </w:p>
    <w:p>
      <w:pPr>
        <w:jc w:val="both"/>
        <w:ind w:left="660" w:hanging="652"/>
        <w:spacing w:after="0" w:line="267" w:lineRule="auto"/>
        <w:tabs>
          <w:tab w:leader="none" w:pos="654"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was no change in the Operating Partnership’s internal control over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occurred during the period covered by this quarterly report that has materially affected, or is reasonably likely to materially affect, the Operating Partnership’s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1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left="100" w:right="260"/>
        <w:spacing w:after="0" w:line="282" w:lineRule="auto"/>
        <w:rPr>
          <w:sz w:val="20"/>
          <w:szCs w:val="20"/>
          <w:color w:val="auto"/>
        </w:rPr>
      </w:pPr>
      <w:r>
        <w:rPr>
          <w:rFonts w:ascii="Times New Roman" w:cs="Times New Roman" w:eastAsia="Times New Roman" w:hAnsi="Times New Roman"/>
          <w:sz w:val="18"/>
          <w:szCs w:val="18"/>
          <w:color w:val="auto"/>
        </w:rPr>
        <w:t>As of September 30, 2026, there have been no material changes to the Risk Factors disclosed in “Part I. Item 1A. Risk Factors” in our Annual Report on Form 10-K for the year ended December 31, 2025.</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760" w:hanging="6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40" w:hanging="632"/>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5" w:lineRule="exact"/>
        <w:rPr>
          <w:rFonts w:ascii="Times New Roman" w:cs="Times New Roman" w:eastAsia="Times New Roman" w:hAnsi="Times New Roman"/>
          <w:sz w:val="18"/>
          <w:szCs w:val="18"/>
          <w:color w:val="auto"/>
        </w:rPr>
      </w:pPr>
    </w:p>
    <w:p>
      <w:pPr>
        <w:jc w:val="both"/>
        <w:ind w:left="760" w:hanging="652"/>
        <w:spacing w:after="0" w:line="237" w:lineRule="auto"/>
        <w:tabs>
          <w:tab w:leader="none" w:pos="75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Trustees has authorized a share repurchase program under which we may repurchase up to $150.0 million of our outstanding common shares. We may repurchase shares from time to time on the open market or in privately negotiated transactions or otherwise, depending on market prices and conditions. During the fiscal quarter ended September 30, 2026, we repurchased common shares at an average price of $3.19 per share for a total of approximately $14.9 million. As of September 30, 2026, $65.8 million remained available for repurchase under our share repurchase program. For each common share repurchased, one of our units in the Operating Partnership was redeemed. Repurchases of common shares were financed with general corporate funds, including borrowings under our Unsecured Credit Facility.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300" w:type="dxa"/>
            <w:vAlign w:val="bottom"/>
          </w:tcPr>
          <w:p>
            <w:pPr>
              <w:spacing w:after="0"/>
              <w:rPr>
                <w:sz w:val="17"/>
                <w:szCs w:val="17"/>
                <w:color w:val="auto"/>
              </w:rPr>
            </w:pPr>
          </w:p>
        </w:tc>
        <w:tc>
          <w:tcPr>
            <w:tcW w:w="24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Maximum number (or</w:t>
            </w: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440" w:type="dxa"/>
            <w:vAlign w:val="bottom"/>
            <w:gridSpan w:val="2"/>
            <w:vMerge w:val="restart"/>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8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(or units) purchased as</w:t>
            </w:r>
          </w:p>
        </w:tc>
        <w:tc>
          <w:tcPr>
            <w:tcW w:w="30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2740" w:type="dxa"/>
            <w:vAlign w:val="bottom"/>
            <w:gridSpan w:val="3"/>
            <w:vMerge w:val="restart"/>
          </w:tcPr>
          <w:p>
            <w:pPr>
              <w:jc w:val="center"/>
              <w:ind w:lef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 (or units) that may yet be</w:t>
            </w:r>
          </w:p>
        </w:tc>
        <w:tc>
          <w:tcPr>
            <w:tcW w:w="0" w:type="dxa"/>
            <w:vAlign w:val="bottom"/>
          </w:tcPr>
          <w:p>
            <w:pPr>
              <w:spacing w:after="0"/>
              <w:rPr>
                <w:sz w:val="1"/>
                <w:szCs w:val="1"/>
                <w:color w:val="auto"/>
              </w:rPr>
            </w:pPr>
          </w:p>
        </w:tc>
      </w:tr>
      <w:tr>
        <w:trPr>
          <w:trHeight w:val="113"/>
        </w:trPr>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8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27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440" w:type="dxa"/>
            <w:vAlign w:val="bottom"/>
            <w:gridSpan w:val="2"/>
            <w:vMerge w:val="restart"/>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under the plans or</w:t>
            </w:r>
          </w:p>
        </w:tc>
        <w:tc>
          <w:tcPr>
            <w:tcW w:w="0" w:type="dxa"/>
            <w:vAlign w:val="bottom"/>
          </w:tcPr>
          <w:p>
            <w:pPr>
              <w:spacing w:after="0"/>
              <w:rPr>
                <w:sz w:val="1"/>
                <w:szCs w:val="1"/>
                <w:color w:val="auto"/>
              </w:rPr>
            </w:pPr>
          </w:p>
        </w:tc>
      </w:tr>
      <w:tr>
        <w:trPr>
          <w:trHeight w:val="117"/>
        </w:trPr>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300" w:type="dxa"/>
            <w:vAlign w:val="bottom"/>
          </w:tcPr>
          <w:p>
            <w:pPr>
              <w:spacing w:after="0"/>
              <w:rPr>
                <w:sz w:val="10"/>
                <w:szCs w:val="10"/>
                <w:color w:val="auto"/>
              </w:rPr>
            </w:pPr>
          </w:p>
        </w:tc>
        <w:tc>
          <w:tcPr>
            <w:tcW w:w="2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80" w:type="dxa"/>
            <w:vAlign w:val="bottom"/>
          </w:tcPr>
          <w:p>
            <w:pPr>
              <w:spacing w:after="0"/>
              <w:rPr>
                <w:sz w:val="5"/>
                <w:szCs w:val="5"/>
                <w:color w:val="auto"/>
              </w:rPr>
            </w:pPr>
          </w:p>
        </w:tc>
        <w:tc>
          <w:tcPr>
            <w:tcW w:w="1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9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840" w:type="dxa"/>
            <w:vAlign w:val="bottom"/>
            <w:vMerge w:val="restart"/>
          </w:tcPr>
          <w:p>
            <w:pPr>
              <w:jc w:val="center"/>
              <w:ind w:left="390"/>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programs </w:t>
            </w:r>
            <w:r>
              <w:rPr>
                <w:rFonts w:ascii="Times New Roman" w:cs="Times New Roman" w:eastAsia="Times New Roman" w:hAnsi="Times New Roman"/>
                <w:sz w:val="23"/>
                <w:szCs w:val="23"/>
                <w:b w:val="1"/>
                <w:bCs w:val="1"/>
                <w:color w:val="auto"/>
                <w:w w:val="96"/>
                <w:vertAlign w:val="superscript"/>
              </w:rPr>
              <w:t>1</w:t>
            </w: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programs</w:t>
            </w:r>
          </w:p>
        </w:tc>
        <w:tc>
          <w:tcPr>
            <w:tcW w:w="30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gridSpan w:val="2"/>
            <w:vMerge w:val="continue"/>
          </w:tcPr>
          <w:p>
            <w:pPr>
              <w:spacing w:after="0"/>
              <w:rPr>
                <w:sz w:val="21"/>
                <w:szCs w:val="21"/>
                <w:color w:val="auto"/>
              </w:rPr>
            </w:pPr>
          </w:p>
        </w:tc>
        <w:tc>
          <w:tcPr>
            <w:tcW w:w="2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(or units) purchased</w:t>
            </w:r>
          </w:p>
        </w:tc>
        <w:tc>
          <w:tcPr>
            <w:tcW w:w="180" w:type="dxa"/>
            <w:vAlign w:val="bottom"/>
          </w:tcPr>
          <w:p>
            <w:pPr>
              <w:spacing w:after="0"/>
              <w:rPr>
                <w:sz w:val="21"/>
                <w:szCs w:val="21"/>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per share (or unit)</w:t>
            </w:r>
          </w:p>
        </w:tc>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y 1, 2026 - July 31, 2026</w:t>
            </w:r>
          </w:p>
        </w:tc>
        <w:tc>
          <w:tcPr>
            <w:tcW w:w="18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1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175"/>
        </w:trPr>
        <w:tc>
          <w:tcPr>
            <w:tcW w:w="2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gust 1, 2026 - August</w:t>
            </w:r>
          </w:p>
        </w:tc>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 2026</w:t>
            </w:r>
          </w:p>
        </w:tc>
        <w:tc>
          <w:tcPr>
            <w:tcW w:w="1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3,841,266</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3,841,266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175"/>
        </w:trPr>
        <w:tc>
          <w:tcPr>
            <w:tcW w:w="2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ptember 1, 2026 -</w:t>
            </w:r>
          </w:p>
        </w:tc>
        <w:tc>
          <w:tcPr>
            <w:tcW w:w="2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ptember 30, 2026</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tals</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4,666,266</w:t>
            </w:r>
          </w:p>
        </w:tc>
        <w:tc>
          <w:tcPr>
            <w:tcW w:w="8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4,666,266</w:t>
            </w: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100" w:hanging="86"/>
        <w:spacing w:after="0" w:line="266" w:lineRule="auto"/>
        <w:rPr>
          <w:sz w:val="20"/>
          <w:szCs w:val="20"/>
          <w:color w:val="auto"/>
        </w:rPr>
      </w:pPr>
      <w:r>
        <w:rPr>
          <w:rFonts w:ascii="Times New Roman" w:cs="Times New Roman" w:eastAsia="Times New Roman" w:hAnsi="Times New Roman"/>
          <w:sz w:val="18"/>
          <w:szCs w:val="18"/>
          <w:color w:val="auto"/>
        </w:rPr>
        <w:t>he number shown represents, as of the end of each period, the approximate dollar value of common shares that may yet be purchased under the share repurchase program, which was authorized by our Board of Trustees on January 3, 2019 and authorizes the repurchase of up to $150.0 million of our outstanding common shares. The shares may be purchased, from time-to-time, depending on a variety of factors.</w:t>
      </w:r>
    </w:p>
    <w:p>
      <w:pPr>
        <w:spacing w:after="0" w:line="2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100"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the Company’s trustees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4" w:lineRule="exact"/>
        <w:rPr>
          <w:sz w:val="20"/>
          <w:szCs w:val="20"/>
          <w:color w:val="auto"/>
        </w:rPr>
      </w:pPr>
    </w:p>
    <w:p>
      <w:pPr>
        <w:ind w:left="480" w:hanging="454"/>
        <w:spacing w:after="0"/>
        <w:tabs>
          <w:tab w:leader="none" w:pos="48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31" w:lineRule="exact"/>
        <w:rPr>
          <w:sz w:val="20"/>
          <w:szCs w:val="20"/>
          <w:color w:val="auto"/>
        </w:rPr>
      </w:pPr>
    </w:p>
    <w:p>
      <w:pPr>
        <w:ind w:left="640"/>
        <w:spacing w:after="0"/>
        <w:tabs>
          <w:tab w:leader="none" w:pos="6140" w:val="left"/>
        </w:tabs>
        <w:rPr>
          <w:sz w:val="20"/>
          <w:szCs w:val="20"/>
          <w:color w:val="auto"/>
        </w:rPr>
      </w:pPr>
      <w:r>
        <w:rPr>
          <w:rFonts w:ascii="Times New Roman" w:cs="Times New Roman" w:eastAsia="Times New Roman" w:hAnsi="Times New Roman"/>
          <w:sz w:val="18"/>
          <w:szCs w:val="18"/>
          <w:b w:val="1"/>
          <w:bCs w:val="1"/>
          <w:color w:val="auto"/>
        </w:rPr>
        <w:t>Exhibits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82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3" w:lineRule="exact"/>
        <w:rPr>
          <w:sz w:val="20"/>
          <w:szCs w:val="20"/>
          <w:color w:val="auto"/>
        </w:rPr>
      </w:pPr>
    </w:p>
    <w:p>
      <w:pPr>
        <w:ind w:left="1980" w:right="700" w:hanging="512"/>
        <w:spacing w:after="0" w:line="234" w:lineRule="auto"/>
        <w:tabs>
          <w:tab w:leader="none" w:pos="19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of Brandywine Realty Trust pursuant to 13a-14(a) and 15d-14(a) under the Securities Exchange Act of 1934 (filed herewith).</w:t>
      </w:r>
    </w:p>
    <w:p>
      <w:pPr>
        <w:spacing w:after="0" w:line="10" w:lineRule="exact"/>
        <w:rPr>
          <w:sz w:val="20"/>
          <w:szCs w:val="20"/>
          <w:color w:val="auto"/>
        </w:rPr>
      </w:pPr>
    </w:p>
    <w:p>
      <w:pPr>
        <w:ind w:left="1980" w:right="760" w:hanging="512"/>
        <w:spacing w:after="0" w:line="237" w:lineRule="auto"/>
        <w:tabs>
          <w:tab w:leader="none" w:pos="19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the Chief Financial Officer of Brandywine Realty Trust pursuant to 13a-14(a) and 15d-14(a) under the Securities Exchange Act of 1934 (filed herewith)</w:t>
      </w:r>
      <w:r>
        <w:rPr>
          <w:rFonts w:ascii="Times New Roman" w:cs="Times New Roman" w:eastAsia="Times New Roman" w:hAnsi="Times New Roman"/>
          <w:sz w:val="18"/>
          <w:szCs w:val="18"/>
          <w:color w:val="000000"/>
        </w:rPr>
        <w:t>.</w:t>
      </w:r>
    </w:p>
    <w:p>
      <w:pPr>
        <w:spacing w:after="0" w:line="10" w:lineRule="exact"/>
        <w:rPr>
          <w:sz w:val="20"/>
          <w:szCs w:val="20"/>
          <w:color w:val="auto"/>
        </w:rPr>
      </w:pPr>
    </w:p>
    <w:p>
      <w:pPr>
        <w:jc w:val="right"/>
        <w:ind w:left="1460" w:right="280"/>
        <w:spacing w:after="0" w:line="237"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0000FF"/>
        </w:rPr>
        <w:t>Certification of the Chief Executive Officer of Brandywine Realty Trust, in its capacity as the general partner of Brandywine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Operating Partnership, L.P., pursuant to 13a-14(a) and 15d-14(a) under the Securities Exchange Act of 1934 (filed herewith)</w:t>
      </w:r>
      <w:r>
        <w:rPr>
          <w:rFonts w:ascii="Times New Roman" w:cs="Times New Roman" w:eastAsia="Times New Roman" w:hAnsi="Times New Roman"/>
          <w:sz w:val="18"/>
          <w:szCs w:val="18"/>
          <w:color w:val="000000"/>
        </w:rPr>
        <w:t>.</w:t>
      </w:r>
    </w:p>
    <w:p>
      <w:pPr>
        <w:spacing w:after="0" w:line="10" w:lineRule="exact"/>
        <w:rPr>
          <w:sz w:val="20"/>
          <w:szCs w:val="20"/>
          <w:color w:val="auto"/>
        </w:rPr>
      </w:pPr>
    </w:p>
    <w:p>
      <w:pPr>
        <w:jc w:val="right"/>
        <w:ind w:left="1460" w:right="280"/>
        <w:spacing w:after="0" w:line="237"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0000FF"/>
        </w:rPr>
        <w:t>Certification of the Chief Financial Officer of Brandywine Realty Trust, in its capacity as the general partner of Brandywine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Operating Partnership, L.P., pursuant to 13a-14(a) and 15d-14(a) under the Securities Exchange Act of 1934 (filed herewith)</w:t>
      </w:r>
      <w:r>
        <w:rPr>
          <w:rFonts w:ascii="Times New Roman" w:cs="Times New Roman" w:eastAsia="Times New Roman" w:hAnsi="Times New Roman"/>
          <w:sz w:val="18"/>
          <w:szCs w:val="18"/>
          <w:color w:val="000000"/>
        </w:rPr>
        <w:t>.</w:t>
      </w:r>
    </w:p>
    <w:p>
      <w:pPr>
        <w:spacing w:after="0" w:line="10" w:lineRule="exact"/>
        <w:rPr>
          <w:sz w:val="20"/>
          <w:szCs w:val="20"/>
          <w:color w:val="auto"/>
        </w:rPr>
      </w:pPr>
    </w:p>
    <w:p>
      <w:pPr>
        <w:ind w:left="1980" w:right="620" w:hanging="512"/>
        <w:spacing w:after="0" w:line="237" w:lineRule="auto"/>
        <w:tabs>
          <w:tab w:leader="none" w:pos="19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of Brandywine Realty Trust pursuant to 18 U.S.C. Section 1350, as adopted pursuant to Section 906 of the Sarbanes-Oxley Act of 2002 (furnished herewith)</w:t>
      </w:r>
      <w:r>
        <w:rPr>
          <w:rFonts w:ascii="Times New Roman" w:cs="Times New Roman" w:eastAsia="Times New Roman" w:hAnsi="Times New Roman"/>
          <w:sz w:val="18"/>
          <w:szCs w:val="18"/>
          <w:color w:val="000000"/>
        </w:rPr>
        <w:t>.</w:t>
      </w:r>
    </w:p>
    <w:p>
      <w:pPr>
        <w:spacing w:after="0" w:line="10" w:lineRule="exact"/>
        <w:rPr>
          <w:sz w:val="20"/>
          <w:szCs w:val="20"/>
          <w:color w:val="auto"/>
        </w:rPr>
      </w:pPr>
    </w:p>
    <w:p>
      <w:pPr>
        <w:ind w:left="1980" w:right="680" w:hanging="512"/>
        <w:spacing w:after="0" w:line="237" w:lineRule="auto"/>
        <w:tabs>
          <w:tab w:leader="none" w:pos="19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the Chief Financial Officer of Brandywine Realty Trust pursuant to 18 U.S.C. Section 1350, as adopted pursuant to Section 906 of the Sarbanes-Oxley Act of 2002 (furnished herewith)</w:t>
      </w:r>
      <w:r>
        <w:rPr>
          <w:rFonts w:ascii="Times New Roman" w:cs="Times New Roman" w:eastAsia="Times New Roman" w:hAnsi="Times New Roman"/>
          <w:sz w:val="18"/>
          <w:szCs w:val="18"/>
          <w:color w:val="000000"/>
        </w:rPr>
        <w:t>.</w:t>
      </w:r>
    </w:p>
    <w:p>
      <w:pPr>
        <w:spacing w:after="0" w:line="10" w:lineRule="exact"/>
        <w:rPr>
          <w:sz w:val="20"/>
          <w:szCs w:val="20"/>
          <w:color w:val="auto"/>
        </w:rPr>
      </w:pPr>
    </w:p>
    <w:p>
      <w:pPr>
        <w:ind w:left="1980" w:right="120" w:hanging="512"/>
        <w:spacing w:after="0" w:line="226" w:lineRule="auto"/>
        <w:tabs>
          <w:tab w:leader="none" w:pos="196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of Brandywine Realty Trust, in its capacity as the general partner of Brandywine Operating Partnership, L.P., pursuant to 18 U.S.C. Section 1350, as adopted pursuant to Section 906 of the Sarbanes-Oxley Act of 2002 (furnished herewith)</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ind w:left="1980" w:right="120" w:hanging="512"/>
        <w:spacing w:after="0" w:line="226" w:lineRule="auto"/>
        <w:tabs>
          <w:tab w:leader="none" w:pos="196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8"/>
          <w:szCs w:val="18"/>
          <w:u w:val="single" w:color="auto"/>
          <w:color w:val="0000FF"/>
        </w:rPr>
        <w:t>Certification of the Chief Financial Officer of Brandywine Realty Trust, in its capacity as the general partner of Brandywine Operating Partnership, L.P., pursuant to 18 U.S.C. Section 1350, as adopted pursuant to Section 906 of the Sarbanes-Oxley Act of 2002 (furnished herewith)</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ind w:left="1980" w:right="20" w:hanging="602"/>
        <w:spacing w:after="0" w:line="229" w:lineRule="auto"/>
        <w:tabs>
          <w:tab w:leader="none" w:pos="196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color w:val="auto"/>
        </w:rPr>
        <w:t>The following materials from the combined Quarterly Reports on Form 10-Q of Brandywine Realty Trust and Brandywine Operating Partnership, L.P. for the quarter ended September 30, 2026 formatted in iXBRL (Inline eXtensible Business Reporting Language): (i) the Consolidated Balance Sheets, (ii) the Consolidated Statements of Operations, (iii) the Consolidated</w:t>
      </w:r>
    </w:p>
    <w:p>
      <w:pPr>
        <w:ind w:left="1980" w:right="460"/>
        <w:spacing w:after="0" w:line="226" w:lineRule="auto"/>
        <w:rPr>
          <w:sz w:val="20"/>
          <w:szCs w:val="20"/>
          <w:color w:val="auto"/>
        </w:rPr>
      </w:pPr>
      <w:r>
        <w:rPr>
          <w:rFonts w:ascii="Times New Roman" w:cs="Times New Roman" w:eastAsia="Times New Roman" w:hAnsi="Times New Roman"/>
          <w:sz w:val="18"/>
          <w:szCs w:val="18"/>
          <w:color w:val="auto"/>
        </w:rPr>
        <w:t>Statements of Comprehensive Income, (iv) the Consolidated Statement of Equity, (v) the Consolidated Statements of Cash Flows, and (vi) Notes to Consolidated Financial Statements, detailed tagged and filed herewith.</w:t>
      </w:r>
    </w:p>
    <w:p>
      <w:pPr>
        <w:spacing w:after="0" w:line="9" w:lineRule="exact"/>
        <w:rPr>
          <w:sz w:val="20"/>
          <w:szCs w:val="20"/>
          <w:color w:val="auto"/>
        </w:rPr>
      </w:pPr>
    </w:p>
    <w:p>
      <w:pPr>
        <w:ind w:left="1980" w:right="280" w:hanging="478"/>
        <w:spacing w:after="0" w:line="237" w:lineRule="auto"/>
        <w:tabs>
          <w:tab w:leader="none" w:pos="1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Exhibits 32.1, 32.2, 32.3 and 32.4 are being furnished and shall not be deemed to be “filed” for purposes of Section 18 of the Exchange Act or otherwise subject to the liability of that section, nor shall any of such exhibits be deemed to be incorporated by reference in any filing of Brandywine Realty Trust or Brandywine Operating Partnership, L.P. under the Securities Act of 1933, as amended, or the Exchange Act, except as otherwise stated in such filing.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 OF 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BRANDYWINE REALTY TRUST</w:t>
      </w:r>
    </w:p>
    <w:p>
      <w:pPr>
        <w:ind w:left="6540"/>
        <w:spacing w:after="0"/>
        <w:rPr>
          <w:sz w:val="20"/>
          <w:szCs w:val="20"/>
          <w:color w:val="auto"/>
        </w:rPr>
      </w:pPr>
      <w:r>
        <w:rPr>
          <w:rFonts w:ascii="Times New Roman" w:cs="Times New Roman" w:eastAsia="Times New Roman" w:hAnsi="Times New Roman"/>
          <w:sz w:val="18"/>
          <w:szCs w:val="18"/>
          <w:color w:val="auto"/>
        </w:rPr>
        <w:t>(Registrant)</w:t>
      </w:r>
    </w:p>
    <w:p>
      <w:pPr>
        <w:spacing w:after="0" w:line="282" w:lineRule="exact"/>
        <w:rPr>
          <w:sz w:val="20"/>
          <w:szCs w:val="20"/>
          <w:color w:val="auto"/>
        </w:rPr>
      </w:pPr>
    </w:p>
    <w:p>
      <w:pPr>
        <w:ind w:left="20"/>
        <w:spacing w:after="0"/>
        <w:tabs>
          <w:tab w:leader="none" w:pos="660" w:val="left"/>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w:t>
        <w:tab/>
        <w:t>October 29,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26574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Gerard H. Sweeney, President and</w:t>
      </w:r>
    </w:p>
    <w:p>
      <w:pPr>
        <w:ind w:left="70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93" w:lineRule="exact"/>
        <w:rPr>
          <w:sz w:val="20"/>
          <w:szCs w:val="20"/>
          <w:color w:val="auto"/>
        </w:rPr>
      </w:pPr>
    </w:p>
    <w:p>
      <w:pPr>
        <w:ind w:left="20"/>
        <w:spacing w:after="0"/>
        <w:tabs>
          <w:tab w:leader="none" w:pos="660" w:val="left"/>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w:t>
        <w:tab/>
        <w:t>October 29,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26574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Thomas E. Wirth, Executive Vice President</w:t>
      </w:r>
    </w:p>
    <w:p>
      <w:pPr>
        <w:ind w:left="7040"/>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1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93" w:lineRule="exact"/>
        <w:rPr>
          <w:sz w:val="20"/>
          <w:szCs w:val="20"/>
          <w:color w:val="auto"/>
        </w:rPr>
      </w:pPr>
    </w:p>
    <w:p>
      <w:pPr>
        <w:ind w:left="20"/>
        <w:spacing w:after="0"/>
        <w:tabs>
          <w:tab w:leader="none" w:pos="660" w:val="left"/>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w:t>
        <w:tab/>
        <w:t>October 29,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Daniel Palazzo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26574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Daniel Palazzo, Senior Vice President and</w:t>
      </w:r>
    </w:p>
    <w:p>
      <w:pPr>
        <w:ind w:left="704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1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 OF 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BRANDYWINE OPERATING PARTNERSHIP, L.P.</w:t>
      </w:r>
    </w:p>
    <w:p>
      <w:pPr>
        <w:ind w:left="6540"/>
        <w:spacing w:after="0" w:line="203" w:lineRule="auto"/>
        <w:rPr>
          <w:sz w:val="20"/>
          <w:szCs w:val="20"/>
          <w:color w:val="auto"/>
        </w:rPr>
      </w:pPr>
      <w:r>
        <w:rPr>
          <w:rFonts w:ascii="Times New Roman" w:cs="Times New Roman" w:eastAsia="Times New Roman" w:hAnsi="Times New Roman"/>
          <w:sz w:val="18"/>
          <w:szCs w:val="18"/>
          <w:color w:val="auto"/>
        </w:rPr>
        <w:t>(Registrant)</w:t>
      </w:r>
    </w:p>
    <w:p>
      <w:pPr>
        <w:ind w:left="6540"/>
        <w:spacing w:after="0" w:line="219" w:lineRule="auto"/>
        <w:rPr>
          <w:sz w:val="20"/>
          <w:szCs w:val="20"/>
          <w:color w:val="auto"/>
        </w:rPr>
      </w:pPr>
      <w:r>
        <w:rPr>
          <w:rFonts w:ascii="Times New Roman" w:cs="Times New Roman" w:eastAsia="Times New Roman" w:hAnsi="Times New Roman"/>
          <w:sz w:val="18"/>
          <w:szCs w:val="18"/>
          <w:color w:val="auto"/>
        </w:rPr>
        <w:t>BRANDYWINE REALTY TRUST,</w:t>
      </w:r>
    </w:p>
    <w:p>
      <w:pPr>
        <w:spacing w:after="0" w:line="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as general partner</w:t>
      </w:r>
    </w:p>
    <w:p>
      <w:pPr>
        <w:spacing w:after="0" w:line="269" w:lineRule="exact"/>
        <w:rPr>
          <w:sz w:val="20"/>
          <w:szCs w:val="20"/>
          <w:color w:val="auto"/>
        </w:rPr>
      </w:pPr>
    </w:p>
    <w:p>
      <w:pPr>
        <w:ind w:left="20"/>
        <w:spacing w:after="0"/>
        <w:tabs>
          <w:tab w:leader="none" w:pos="660" w:val="left"/>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w:t>
        <w:tab/>
        <w:t>October 29,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26574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Gerard H. Sweeney, President and</w:t>
      </w:r>
    </w:p>
    <w:p>
      <w:pPr>
        <w:ind w:left="70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93" w:lineRule="exact"/>
        <w:rPr>
          <w:sz w:val="20"/>
          <w:szCs w:val="20"/>
          <w:color w:val="auto"/>
        </w:rPr>
      </w:pPr>
    </w:p>
    <w:p>
      <w:pPr>
        <w:ind w:left="20"/>
        <w:spacing w:after="0"/>
        <w:tabs>
          <w:tab w:leader="none" w:pos="660" w:val="left"/>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w:t>
        <w:tab/>
        <w:t>October 29,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26574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Thomas E. Wirth, Executive Vice President</w:t>
      </w:r>
    </w:p>
    <w:p>
      <w:pPr>
        <w:ind w:left="7040"/>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1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93" w:lineRule="exact"/>
        <w:rPr>
          <w:sz w:val="20"/>
          <w:szCs w:val="20"/>
          <w:color w:val="auto"/>
        </w:rPr>
      </w:pPr>
    </w:p>
    <w:p>
      <w:pPr>
        <w:ind w:left="20"/>
        <w:spacing w:after="0"/>
        <w:tabs>
          <w:tab w:leader="none" w:pos="660" w:val="left"/>
          <w:tab w:leader="none" w:pos="6520" w:val="left"/>
          <w:tab w:leader="none" w:pos="7020" w:val="left"/>
        </w:tabs>
        <w:rPr>
          <w:sz w:val="20"/>
          <w:szCs w:val="20"/>
          <w:color w:val="auto"/>
        </w:rPr>
      </w:pPr>
      <w:r>
        <w:rPr>
          <w:rFonts w:ascii="Times New Roman" w:cs="Times New Roman" w:eastAsia="Times New Roman" w:hAnsi="Times New Roman"/>
          <w:sz w:val="18"/>
          <w:szCs w:val="18"/>
          <w:color w:val="auto"/>
        </w:rPr>
        <w:t>Date:</w:t>
        <w:tab/>
        <w:t>October 29,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Daniel Palazzo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26574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Daniel Palazzo, Senior Vice President and</w:t>
      </w:r>
    </w:p>
    <w:p>
      <w:pPr>
        <w:ind w:left="704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1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H. Sweeney, certify that:</w:t>
      </w:r>
    </w:p>
    <w:p>
      <w:pPr>
        <w:spacing w:after="0" w:line="185" w:lineRule="exact"/>
        <w:rPr>
          <w:sz w:val="20"/>
          <w:szCs w:val="20"/>
          <w:color w:val="auto"/>
        </w:rPr>
      </w:pPr>
    </w:p>
    <w:p>
      <w:pPr>
        <w:ind w:left="820" w:hanging="812"/>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Brandywine Realty Trust;</w:t>
      </w:r>
    </w:p>
    <w:p>
      <w:pPr>
        <w:spacing w:after="0" w:line="198"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right="20" w:hanging="812"/>
        <w:spacing w:after="0" w:line="276" w:lineRule="auto"/>
        <w:tabs>
          <w:tab w:leader="none" w:pos="8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802"/>
        <w:spacing w:after="0" w:line="266"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820" w:right="120" w:hanging="812"/>
        <w:spacing w:after="0" w:line="312" w:lineRule="auto"/>
        <w:tabs>
          <w:tab w:leader="none" w:pos="8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620" w:right="140" w:hanging="802"/>
        <w:spacing w:after="0" w:line="282" w:lineRule="auto"/>
        <w:tabs>
          <w:tab w:leader="none" w:pos="16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40" w:hanging="802"/>
        <w:spacing w:after="0" w:line="282" w:lineRule="auto"/>
        <w:tabs>
          <w:tab w:leader="none" w:pos="16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7"/>
          <w:szCs w:val="17"/>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972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Gerard H. Sweeney</w:t>
      </w:r>
    </w:p>
    <w:p>
      <w:pPr>
        <w:spacing w:after="0" w:line="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062"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Wirth, certify that:</w:t>
      </w:r>
    </w:p>
    <w:p>
      <w:pPr>
        <w:spacing w:after="0" w:line="185" w:lineRule="exact"/>
        <w:rPr>
          <w:sz w:val="20"/>
          <w:szCs w:val="20"/>
          <w:color w:val="auto"/>
        </w:rPr>
      </w:pPr>
    </w:p>
    <w:p>
      <w:pPr>
        <w:ind w:left="820" w:hanging="812"/>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Brandywine Realty Trust;</w:t>
      </w:r>
    </w:p>
    <w:p>
      <w:pPr>
        <w:spacing w:after="0" w:line="198"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right="20" w:hanging="812"/>
        <w:spacing w:after="0" w:line="276" w:lineRule="auto"/>
        <w:tabs>
          <w:tab w:leader="none" w:pos="8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1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802"/>
        <w:spacing w:after="0" w:line="266"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820" w:right="120" w:hanging="812"/>
        <w:spacing w:after="0" w:line="312" w:lineRule="auto"/>
        <w:tabs>
          <w:tab w:leader="none" w:pos="8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620" w:right="140" w:hanging="802"/>
        <w:spacing w:after="0" w:line="282" w:lineRule="auto"/>
        <w:tabs>
          <w:tab w:leader="none" w:pos="161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40" w:hanging="802"/>
        <w:spacing w:after="0" w:line="282" w:lineRule="auto"/>
        <w:tabs>
          <w:tab w:leader="none" w:pos="1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7"/>
          <w:szCs w:val="17"/>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972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Thomas E. Wirth</w:t>
      </w:r>
    </w:p>
    <w:p>
      <w:pPr>
        <w:spacing w:after="0" w:line="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1062"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H. Sweeney, certify that:</w:t>
      </w:r>
    </w:p>
    <w:p>
      <w:pPr>
        <w:spacing w:after="0" w:line="185" w:lineRule="exact"/>
        <w:rPr>
          <w:sz w:val="20"/>
          <w:szCs w:val="20"/>
          <w:color w:val="auto"/>
        </w:rPr>
      </w:pPr>
    </w:p>
    <w:p>
      <w:pPr>
        <w:ind w:left="820" w:hanging="812"/>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Brandywine Operating Partnership, L.P.;</w:t>
      </w:r>
    </w:p>
    <w:p>
      <w:pPr>
        <w:spacing w:after="0" w:line="184"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right="20" w:hanging="812"/>
        <w:spacing w:after="0" w:line="276" w:lineRule="auto"/>
        <w:tabs>
          <w:tab w:leader="none" w:pos="8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66"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20" w:right="320" w:hanging="802"/>
        <w:spacing w:after="0" w:line="266" w:lineRule="auto"/>
        <w:tabs>
          <w:tab w:leader="none" w:pos="1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820" w:right="120" w:hanging="812"/>
        <w:spacing w:after="0" w:line="312" w:lineRule="auto"/>
        <w:tabs>
          <w:tab w:leader="none" w:pos="8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620" w:right="140" w:hanging="802"/>
        <w:spacing w:after="0" w:line="282" w:lineRule="auto"/>
        <w:tabs>
          <w:tab w:leader="none" w:pos="16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620" w:right="440" w:hanging="802"/>
        <w:spacing w:after="0" w:line="282" w:lineRule="auto"/>
        <w:tabs>
          <w:tab w:leader="none" w:pos="1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H. Sweeney</w:t>
            </w:r>
          </w:p>
        </w:tc>
      </w:tr>
      <w:tr>
        <w:trPr>
          <w:trHeight w:val="218"/>
        </w:trPr>
        <w:tc>
          <w:tcPr>
            <w:tcW w:w="61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Gerard H. Sweeney</w:t>
            </w:r>
          </w:p>
        </w:tc>
      </w:tr>
      <w:tr>
        <w:trPr>
          <w:trHeight w:val="234"/>
        </w:trPr>
        <w:tc>
          <w:tcPr>
            <w:tcW w:w="61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Wirth, certify that:</w:t>
      </w:r>
    </w:p>
    <w:p>
      <w:pPr>
        <w:spacing w:after="0" w:line="166" w:lineRule="exact"/>
        <w:rPr>
          <w:sz w:val="20"/>
          <w:szCs w:val="20"/>
          <w:color w:val="auto"/>
        </w:rPr>
      </w:pPr>
    </w:p>
    <w:p>
      <w:pPr>
        <w:ind w:left="820" w:hanging="812"/>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Brandywine Operating Partnership, L.P.;</w:t>
      </w:r>
    </w:p>
    <w:p>
      <w:pPr>
        <w:spacing w:after="0" w:line="198" w:lineRule="exact"/>
        <w:rPr>
          <w:rFonts w:ascii="Times New Roman" w:cs="Times New Roman" w:eastAsia="Times New Roman" w:hAnsi="Times New Roman"/>
          <w:sz w:val="18"/>
          <w:szCs w:val="18"/>
          <w:color w:val="auto"/>
        </w:rPr>
      </w:pPr>
    </w:p>
    <w:p>
      <w:pPr>
        <w:ind w:left="820" w:right="20" w:hanging="812"/>
        <w:spacing w:after="0" w:line="266"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820" w:right="180" w:hanging="812"/>
        <w:spacing w:after="0" w:line="282"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right="20" w:hanging="812"/>
        <w:spacing w:after="0" w:line="276" w:lineRule="auto"/>
        <w:tabs>
          <w:tab w:leader="none" w:pos="8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1620" w:right="20" w:hanging="802"/>
        <w:spacing w:after="0" w:line="266" w:lineRule="auto"/>
        <w:tabs>
          <w:tab w:leader="none" w:pos="16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620" w:right="80" w:hanging="802"/>
        <w:spacing w:after="0" w:line="266" w:lineRule="auto"/>
        <w:tabs>
          <w:tab w:leader="none" w:pos="16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620" w:right="200" w:hanging="802"/>
        <w:spacing w:after="0" w:line="266" w:lineRule="auto"/>
        <w:tabs>
          <w:tab w:leader="none" w:pos="16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620" w:right="320" w:hanging="802"/>
        <w:spacing w:after="0" w:line="266" w:lineRule="auto"/>
        <w:tabs>
          <w:tab w:leader="none" w:pos="16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820" w:right="120" w:hanging="812"/>
        <w:spacing w:after="0" w:line="312" w:lineRule="auto"/>
        <w:tabs>
          <w:tab w:leader="none" w:pos="8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620" w:right="140" w:hanging="802"/>
        <w:spacing w:after="0" w:line="282" w:lineRule="auto"/>
        <w:tabs>
          <w:tab w:leader="none" w:pos="16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620" w:right="440" w:hanging="802"/>
        <w:spacing w:after="0" w:line="282" w:lineRule="auto"/>
        <w:tabs>
          <w:tab w:leader="none" w:pos="16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E. Wirth</w:t>
            </w:r>
          </w:p>
        </w:tc>
      </w:tr>
      <w:tr>
        <w:trPr>
          <w:trHeight w:val="218"/>
        </w:trPr>
        <w:tc>
          <w:tcPr>
            <w:tcW w:w="61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Thomas E. Wirth</w:t>
            </w:r>
          </w:p>
        </w:tc>
      </w:tr>
      <w:tr>
        <w:trPr>
          <w:trHeight w:val="234"/>
        </w:trPr>
        <w:tc>
          <w:tcPr>
            <w:tcW w:w="61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Brandywine Realty Trust (the “Company”) on Form 10-Q for the quarter ended September 30, 2026 as filed with the Securities and Exchange Commission on the date hereof (the “Report”), I, Gerard H. Sweeney, President and Chief Executive Officer of the Company, certify, pursuant to 18 U.S.C. Section 1350, as adopted pursuant to Section 906 of the Sarbanes-Oxley Act of 2002, that:</w:t>
      </w:r>
    </w:p>
    <w:p>
      <w:pPr>
        <w:spacing w:after="0" w:line="135" w:lineRule="exact"/>
        <w:rPr>
          <w:sz w:val="20"/>
          <w:szCs w:val="20"/>
          <w:color w:val="auto"/>
        </w:rPr>
      </w:pPr>
    </w:p>
    <w:p>
      <w:pPr>
        <w:ind w:left="820" w:hanging="812"/>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98" w:lineRule="exact"/>
        <w:rPr>
          <w:rFonts w:ascii="Times New Roman" w:cs="Times New Roman" w:eastAsia="Times New Roman" w:hAnsi="Times New Roman"/>
          <w:sz w:val="18"/>
          <w:szCs w:val="18"/>
          <w:color w:val="auto"/>
        </w:rPr>
      </w:pPr>
    </w:p>
    <w:p>
      <w:pPr>
        <w:ind w:left="820" w:right="760" w:hanging="812"/>
        <w:spacing w:after="0" w:line="282" w:lineRule="auto"/>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Gerard H. Sweeney</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74" w:lineRule="exact"/>
        <w:rPr>
          <w:sz w:val="20"/>
          <w:szCs w:val="20"/>
          <w:color w:val="auto"/>
        </w:rPr>
      </w:pPr>
    </w:p>
    <w:p>
      <w:pPr>
        <w:ind w:right="280" w:firstLine="8"/>
        <w:spacing w:after="0" w:line="282" w:lineRule="auto"/>
        <w:tabs>
          <w:tab w:leader="none" w:pos="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Brandywine Realty Trust and will be retained by Brandywine Realty Trust and furnished to the Securities and Exchange Commission or its staff upon request.</w:t>
      </w:r>
    </w:p>
    <w:p>
      <w:pPr>
        <w:sectPr>
          <w:pgSz w:w="11900" w:h="16838" w:orient="portrait"/>
          <w:cols w:equalWidth="0" w:num="1">
            <w:col w:w="11240"/>
          </w:cols>
          <w:pgMar w:left="320" w:top="1062"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Brandywine Realty Trust (the “Company”) on Form 10-Q for the quarter ended September 30, 2026 as filed with the Securities and Exchange Commission on the date hereof (the “Report”), I, Thomas E. Wirth, Executive Vice President and Chief Financial Officer of the Company, certify, pursuant to 18 U.S.C. Section 1350, as adopted pursuant to Section 906 of the Sarbanes-Oxley Act of 2002, that:</w:t>
      </w:r>
    </w:p>
    <w:p>
      <w:pPr>
        <w:spacing w:after="0" w:line="135" w:lineRule="exact"/>
        <w:rPr>
          <w:sz w:val="20"/>
          <w:szCs w:val="20"/>
          <w:color w:val="auto"/>
        </w:rPr>
      </w:pPr>
    </w:p>
    <w:p>
      <w:pPr>
        <w:ind w:left="820" w:hanging="812"/>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98" w:lineRule="exact"/>
        <w:rPr>
          <w:rFonts w:ascii="Times New Roman" w:cs="Times New Roman" w:eastAsia="Times New Roman" w:hAnsi="Times New Roman"/>
          <w:sz w:val="18"/>
          <w:szCs w:val="18"/>
          <w:color w:val="auto"/>
        </w:rPr>
      </w:pPr>
    </w:p>
    <w:p>
      <w:pPr>
        <w:ind w:left="820" w:right="760" w:hanging="812"/>
        <w:spacing w:after="0" w:line="282"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E. Wirth</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74" w:lineRule="exact"/>
        <w:rPr>
          <w:sz w:val="20"/>
          <w:szCs w:val="20"/>
          <w:color w:val="auto"/>
        </w:rPr>
      </w:pPr>
    </w:p>
    <w:p>
      <w:pPr>
        <w:ind w:right="280" w:firstLine="8"/>
        <w:spacing w:after="0" w:line="282" w:lineRule="auto"/>
        <w:tabs>
          <w:tab w:leader="none" w:pos="1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Brandywine Realty Trust and will be retained by Brandywine Realty Trust and furnished to the Securities and Exchange Commission or its staff upon request.</w:t>
      </w:r>
    </w:p>
    <w:p>
      <w:pPr>
        <w:sectPr>
          <w:pgSz w:w="11900" w:h="16838" w:orient="portrait"/>
          <w:cols w:equalWidth="0" w:num="1">
            <w:col w:w="11240"/>
          </w:cols>
          <w:pgMar w:left="320" w:top="1062"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Brandywine Operating Partnership, L.P. (the “Partnership”) on Form 10-Q for the quarter ended September 30, 2026 as filed with the Securities and Exchange Commission on the date hereof (the “Report”), I, Gerard H. Sweeney, President and Chief Executive Officer of Brandywine Realty Trust, the Partnership's sole general partner, certify, pursuant to 18 U.S.C. Section 1350, as adopted pursuant to Section 906 of the Sarbanes-Oxley Act of 2002, that:</w:t>
      </w:r>
    </w:p>
    <w:p>
      <w:pPr>
        <w:spacing w:after="0" w:line="139" w:lineRule="exact"/>
        <w:rPr>
          <w:sz w:val="20"/>
          <w:szCs w:val="20"/>
          <w:color w:val="auto"/>
        </w:rPr>
      </w:pPr>
    </w:p>
    <w:p>
      <w:pPr>
        <w:ind w:left="820" w:hanging="812"/>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84" w:lineRule="exact"/>
        <w:rPr>
          <w:rFonts w:ascii="Times New Roman" w:cs="Times New Roman" w:eastAsia="Times New Roman" w:hAnsi="Times New Roman"/>
          <w:sz w:val="18"/>
          <w:szCs w:val="18"/>
          <w:color w:val="auto"/>
        </w:rPr>
      </w:pPr>
    </w:p>
    <w:p>
      <w:pPr>
        <w:ind w:left="820" w:right="760" w:hanging="812"/>
        <w:spacing w:after="0" w:line="282" w:lineRule="auto"/>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204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Gerard H. Sweeney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74" w:lineRule="exact"/>
        <w:rPr>
          <w:sz w:val="20"/>
          <w:szCs w:val="20"/>
          <w:color w:val="auto"/>
        </w:rPr>
      </w:pPr>
    </w:p>
    <w:p>
      <w:pPr>
        <w:ind w:right="280" w:firstLine="8"/>
        <w:spacing w:after="0" w:line="282" w:lineRule="auto"/>
        <w:tabs>
          <w:tab w:leader="none" w:pos="1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Brandywine Realty Trust and will be retained by Brandywine Realty Trust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Brandywine Operating Partnership, L.P. (the “Partnership”) on Form 10-Q for the quarter ended September 30, 2026 as filed with the Securities and Exchange Commission on the date hereof (the “Report”), I, Thomas E. Wirth, Executive Vice President and Chief Financial Officer of Brandywine Realty Trust, the Partnership's sole general partner, certify, pursuant to 18 U.S.C. Section 1350, as adopted pursuant to Section 906 of the Sarbanes-Oxley Act of 2002, that:</w:t>
      </w:r>
    </w:p>
    <w:p>
      <w:pPr>
        <w:spacing w:after="0" w:line="139" w:lineRule="exact"/>
        <w:rPr>
          <w:sz w:val="20"/>
          <w:szCs w:val="20"/>
          <w:color w:val="auto"/>
        </w:rPr>
      </w:pPr>
    </w:p>
    <w:p>
      <w:pPr>
        <w:ind w:left="820" w:hanging="812"/>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84" w:lineRule="exact"/>
        <w:rPr>
          <w:rFonts w:ascii="Times New Roman" w:cs="Times New Roman" w:eastAsia="Times New Roman" w:hAnsi="Times New Roman"/>
          <w:sz w:val="18"/>
          <w:szCs w:val="18"/>
          <w:color w:val="auto"/>
        </w:rPr>
      </w:pPr>
    </w:p>
    <w:p>
      <w:pPr>
        <w:ind w:left="820" w:right="760" w:hanging="812"/>
        <w:spacing w:after="0" w:line="282" w:lineRule="auto"/>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172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E. Wirth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74" w:lineRule="exact"/>
        <w:rPr>
          <w:sz w:val="20"/>
          <w:szCs w:val="20"/>
          <w:color w:val="auto"/>
        </w:rPr>
      </w:pPr>
    </w:p>
    <w:p>
      <w:pPr>
        <w:ind w:right="280" w:firstLine="8"/>
        <w:spacing w:after="0" w:line="282" w:lineRule="auto"/>
        <w:tabs>
          <w:tab w:leader="none" w:pos="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Brandywine Realty Trust and will be retained by Brandywine Realty Trust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lowerLetter"/>
      <w:start w:val="1"/>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1)"/>
      <w:numFmt w:val="lowerLetter"/>
      <w:start w:val="2"/>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decimal"/>
      <w:start w:val="104"/>
    </w:lvl>
  </w:abstractNum>
  <w:abstractNum w:abstractNumId="33">
    <w:nsid w:val="51EAD36B"/>
    <w:multiLevelType w:val="hybridMultilevel"/>
    <w:lvl w:ilvl="0">
      <w:lvlJc w:val="left"/>
      <w:lvlText w:val="%1."/>
      <w:numFmt w:val="decimal"/>
      <w:start w:val="1"/>
    </w:lvl>
    <w:lvl w:ilvl="1">
      <w:lvlJc w:val="left"/>
      <w:lvlText w:val="%2."/>
      <w:numFmt w:val="lowerLetter"/>
      <w:start w:val="1"/>
    </w:lvl>
  </w:abstractNum>
  <w:abstractNum w:abstractNumId="34">
    <w:nsid w:val="2D517796"/>
    <w:multiLevelType w:val="hybridMultilevel"/>
    <w:lvl w:ilvl="0">
      <w:lvlJc w:val="left"/>
      <w:lvlText w:val="%1."/>
      <w:numFmt w:val="decimal"/>
      <w:start w:val="1"/>
    </w:lvl>
    <w:lvl w:ilvl="1">
      <w:lvlJc w:val="left"/>
      <w:lvlText w:val="%2."/>
      <w:numFmt w:val="lowerLetter"/>
      <w:start w:val="1"/>
    </w:lvl>
  </w:abstractNum>
  <w:abstractNum w:abstractNumId="35">
    <w:nsid w:val="580BD78F"/>
    <w:multiLevelType w:val="hybridMultilevel"/>
    <w:lvl w:ilvl="0">
      <w:lvlJc w:val="left"/>
      <w:lvlText w:val="%1."/>
      <w:numFmt w:val="decimal"/>
      <w:start w:val="1"/>
    </w:lvl>
    <w:lvl w:ilvl="1">
      <w:lvlJc w:val="left"/>
      <w:lvlText w:val="%2."/>
      <w:numFmt w:val="lowerLetter"/>
      <w:start w:val="1"/>
    </w:lvl>
  </w:abstractNum>
  <w:abstractNum w:abstractNumId="36">
    <w:nsid w:val="153EA438"/>
    <w:multiLevelType w:val="hybridMultilevel"/>
    <w:lvl w:ilvl="0">
      <w:lvlJc w:val="left"/>
      <w:lvlText w:val="%1."/>
      <w:numFmt w:val="decimal"/>
      <w:start w:val="1"/>
    </w:lvl>
    <w:lvl w:ilvl="1">
      <w:lvlJc w:val="left"/>
      <w:lvlText w:val="%2."/>
      <w:numFmt w:val="lowerLetter"/>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2026-10-29T14:25:26Z</dcterms:created>
  <dcterms:modified xsi:type="dcterms:W3CDTF">2026-10-29T14:25:26Z</dcterms:modified>
</cp:coreProperties>
</file>