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86"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8"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45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89"/>
        </w:trPr>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gridSpan w:val="9"/>
          </w:tcPr>
          <w:p>
            <w:pPr>
              <w:jc w:val="center"/>
              <w:ind w:right="3819"/>
              <w:spacing w:after="0"/>
              <w:rPr>
                <w:sz w:val="20"/>
                <w:szCs w:val="20"/>
                <w:color w:val="auto"/>
              </w:rPr>
            </w:pPr>
            <w:r>
              <w:rPr>
                <w:rFonts w:ascii="Times New Roman" w:cs="Times New Roman" w:eastAsia="Times New Roman" w:hAnsi="Times New Roman"/>
                <w:sz w:val="25"/>
                <w:szCs w:val="25"/>
                <w:b w:val="1"/>
                <w:bCs w:val="1"/>
                <w:color w:val="auto"/>
                <w:w w:val="99"/>
              </w:rPr>
              <w:t>Brandywine Realty Trust</w:t>
            </w:r>
          </w:p>
        </w:tc>
        <w:tc>
          <w:tcPr>
            <w:tcW w:w="0" w:type="dxa"/>
            <w:vAlign w:val="bottom"/>
          </w:tcPr>
          <w:p>
            <w:pPr>
              <w:spacing w:after="0"/>
              <w:rPr>
                <w:sz w:val="1"/>
                <w:szCs w:val="1"/>
                <w:color w:val="auto"/>
              </w:rPr>
            </w:pPr>
          </w:p>
        </w:tc>
      </w:tr>
      <w:tr>
        <w:trPr>
          <w:trHeight w:val="312"/>
        </w:trPr>
        <w:tc>
          <w:tcPr>
            <w:tcW w:w="3380" w:type="dxa"/>
            <w:vAlign w:val="bottom"/>
          </w:tcPr>
          <w:p>
            <w:pPr>
              <w:spacing w:after="0"/>
              <w:rPr>
                <w:sz w:val="24"/>
                <w:szCs w:val="24"/>
                <w:color w:val="auto"/>
              </w:rPr>
            </w:pPr>
          </w:p>
        </w:tc>
        <w:tc>
          <w:tcPr>
            <w:tcW w:w="7820" w:type="dxa"/>
            <w:vAlign w:val="bottom"/>
            <w:gridSpan w:val="11"/>
          </w:tcPr>
          <w:p>
            <w:pPr>
              <w:jc w:val="center"/>
              <w:ind w:right="3279"/>
              <w:spacing w:after="0"/>
              <w:rPr>
                <w:sz w:val="20"/>
                <w:szCs w:val="20"/>
                <w:color w:val="auto"/>
              </w:rPr>
            </w:pPr>
            <w:r>
              <w:rPr>
                <w:rFonts w:ascii="Times New Roman" w:cs="Times New Roman" w:eastAsia="Times New Roman" w:hAnsi="Times New Roman"/>
                <w:sz w:val="25"/>
                <w:szCs w:val="25"/>
                <w:b w:val="1"/>
                <w:bCs w:val="1"/>
                <w:color w:val="auto"/>
              </w:rPr>
              <w:t>Brandywine Operating Partnership, L.P.</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gridSpan w:val="9"/>
          </w:tcPr>
          <w:p>
            <w:pPr>
              <w:jc w:val="center"/>
              <w:ind w:right="379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0" w:type="dxa"/>
            <w:vAlign w:val="bottom"/>
          </w:tcPr>
          <w:p>
            <w:pPr>
              <w:spacing w:after="0"/>
              <w:rPr>
                <w:sz w:val="1"/>
                <w:szCs w:val="1"/>
                <w:color w:val="auto"/>
              </w:rPr>
            </w:pPr>
          </w:p>
        </w:tc>
      </w:tr>
      <w:tr>
        <w:trPr>
          <w:trHeight w:val="567"/>
        </w:trPr>
        <w:tc>
          <w:tcPr>
            <w:tcW w:w="338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(Brandywine Realty Trust)</w:t>
            </w:r>
          </w:p>
        </w:tc>
        <w:tc>
          <w:tcPr>
            <w:tcW w:w="3260" w:type="dxa"/>
            <w:vAlign w:val="bottom"/>
            <w:gridSpan w:val="6"/>
            <w:vMerge w:val="restart"/>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001-9106</w:t>
            </w:r>
          </w:p>
        </w:tc>
        <w:tc>
          <w:tcPr>
            <w:tcW w:w="4560" w:type="dxa"/>
            <w:vAlign w:val="bottom"/>
            <w:gridSpan w:val="5"/>
            <w:vMerge w:val="restart"/>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23-2413352</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3260" w:type="dxa"/>
            <w:vAlign w:val="bottom"/>
            <w:gridSpan w:val="6"/>
            <w:vMerge w:val="continue"/>
          </w:tcPr>
          <w:p>
            <w:pPr>
              <w:spacing w:after="0"/>
              <w:rPr>
                <w:sz w:val="12"/>
                <w:szCs w:val="12"/>
                <w:color w:val="auto"/>
              </w:rPr>
            </w:pPr>
          </w:p>
        </w:tc>
        <w:tc>
          <w:tcPr>
            <w:tcW w:w="45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(Brandywine Operating Partnership, L.P.)</w:t>
            </w:r>
          </w:p>
        </w:tc>
        <w:tc>
          <w:tcPr>
            <w:tcW w:w="3260" w:type="dxa"/>
            <w:vAlign w:val="bottom"/>
            <w:gridSpan w:val="6"/>
            <w:vMerge w:val="restart"/>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000-24407</w:t>
            </w:r>
          </w:p>
        </w:tc>
        <w:tc>
          <w:tcPr>
            <w:tcW w:w="4560" w:type="dxa"/>
            <w:vAlign w:val="bottom"/>
            <w:gridSpan w:val="5"/>
            <w:vMerge w:val="restart"/>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23-2862640</w:t>
            </w: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45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80" w:type="dxa"/>
            <w:vAlign w:val="bottom"/>
            <w:tcBorders>
              <w:top w:val="single" w:sz="8" w:color="auto"/>
            </w:tcBorders>
          </w:tcPr>
          <w:p>
            <w:pPr>
              <w:jc w:val="center"/>
              <w:ind w:left="279"/>
              <w:spacing w:after="0" w:line="158" w:lineRule="exact"/>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top w:val="single" w:sz="8" w:color="auto"/>
            </w:tcBorders>
            <w:gridSpan w:val="2"/>
          </w:tcPr>
          <w:p>
            <w:pPr>
              <w:ind w:left="320"/>
              <w:spacing w:after="0" w:line="158" w:lineRule="exact"/>
              <w:rPr>
                <w:sz w:val="20"/>
                <w:szCs w:val="20"/>
                <w:color w:val="auto"/>
              </w:rPr>
            </w:pPr>
            <w:r>
              <w:rPr>
                <w:rFonts w:ascii="Times New Roman" w:cs="Times New Roman" w:eastAsia="Times New Roman" w:hAnsi="Times New Roman"/>
                <w:sz w:val="16"/>
                <w:szCs w:val="16"/>
                <w:color w:val="auto"/>
              </w:rPr>
              <w:t>(Commission file number)</w:t>
            </w: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10"/>
        </w:trPr>
        <w:tc>
          <w:tcPr>
            <w:tcW w:w="338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or Organization)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2929 Arch Street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Suite 1800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(610) 325-5600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82"/>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 of Beneficial Interest</w:t>
            </w:r>
          </w:p>
        </w:tc>
        <w:tc>
          <w:tcPr>
            <w:tcW w:w="2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BDN</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94" w:lineRule="exact"/>
        <w:rPr>
          <w:sz w:val="24"/>
          <w:szCs w:val="24"/>
          <w:color w:val="auto"/>
        </w:rPr>
      </w:pPr>
    </w:p>
    <w:p>
      <w:pPr>
        <w:ind w:left="20"/>
        <w:spacing w:after="0" w:line="161" w:lineRule="exact"/>
        <w:tabs>
          <w:tab w:leader="none" w:pos="5120" w:val="left"/>
          <w:tab w:leader="none" w:pos="610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sz w:val="20"/>
          <w:szCs w:val="20"/>
          <w:color w:val="auto"/>
        </w:rPr>
        <w:tab/>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line="161" w:lineRule="exact"/>
        <w:tabs>
          <w:tab w:leader="none" w:pos="5120" w:val="left"/>
          <w:tab w:leader="none" w:pos="610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sz w:val="20"/>
          <w:szCs w:val="20"/>
          <w:color w:val="auto"/>
        </w:rPr>
        <w:tab/>
      </w:r>
      <w:r>
        <w:rPr>
          <w:rFonts w:ascii="MS PGothic" w:cs="MS PGothic" w:eastAsia="MS PGothic" w:hAnsi="MS PGothic"/>
          <w:sz w:val="16"/>
          <w:szCs w:val="16"/>
          <w:color w:val="auto"/>
        </w:rPr>
        <w:t>☒</w:t>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18" w:lineRule="exact"/>
        <w:rPr>
          <w:sz w:val="24"/>
          <w:szCs w:val="24"/>
          <w:color w:val="auto"/>
        </w:rPr>
      </w:pPr>
    </w:p>
    <w:p>
      <w:pPr>
        <w:ind w:left="20"/>
        <w:spacing w:after="0" w:line="161" w:lineRule="exact"/>
        <w:tabs>
          <w:tab w:leader="none" w:pos="5200" w:val="left"/>
          <w:tab w:leader="none" w:pos="600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sz w:val="20"/>
          <w:szCs w:val="20"/>
          <w:color w:val="auto"/>
        </w:rPr>
        <w:tab/>
      </w:r>
      <w:r>
        <w:rPr>
          <w:rFonts w:ascii="MS PGothic" w:cs="MS PGothic" w:eastAsia="MS PGothic" w:hAnsi="MS PGothic"/>
          <w:sz w:val="12"/>
          <w:szCs w:val="12"/>
          <w:color w:val="auto"/>
        </w:rPr>
        <w:t>☒</w:t>
      </w:r>
    </w:p>
    <w:p>
      <w:pPr>
        <w:spacing w:after="0" w:line="94" w:lineRule="exact"/>
        <w:rPr>
          <w:sz w:val="24"/>
          <w:szCs w:val="24"/>
          <w:color w:val="auto"/>
        </w:rPr>
      </w:pPr>
    </w:p>
    <w:p>
      <w:pPr>
        <w:ind w:left="20"/>
        <w:spacing w:after="0" w:line="161" w:lineRule="exact"/>
        <w:tabs>
          <w:tab w:leader="none" w:pos="5200" w:val="left"/>
          <w:tab w:leader="none" w:pos="600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sz w:val="20"/>
          <w:szCs w:val="20"/>
          <w:color w:val="auto"/>
        </w:rPr>
        <w:tab/>
      </w:r>
      <w:r>
        <w:rPr>
          <w:rFonts w:ascii="MS PGothic" w:cs="MS PGothic" w:eastAsia="MS PGothic" w:hAnsi="MS PGothic"/>
          <w:sz w:val="12"/>
          <w:szCs w:val="12"/>
          <w:color w:val="auto"/>
        </w:rPr>
        <w:t>☒</w:t>
      </w:r>
    </w:p>
    <w:p>
      <w:pPr>
        <w:spacing w:after="0" w:line="331"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6"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0" w:lineRule="exact"/>
        <w:rPr>
          <w:sz w:val="24"/>
          <w:szCs w:val="24"/>
          <w:color w:val="auto"/>
        </w:rPr>
      </w:pPr>
    </w:p>
    <w:p>
      <w:pPr>
        <w:spacing w:after="0" w:line="335"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1" w:lineRule="exact"/>
        <w:rPr>
          <w:sz w:val="24"/>
          <w:szCs w:val="24"/>
          <w:color w:val="auto"/>
        </w:rPr>
      </w:pPr>
    </w:p>
    <w:p>
      <w:pPr>
        <w:ind w:right="560"/>
        <w:spacing w:after="0" w:line="30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Brandywine Realty Trust:</w:t>
      </w:r>
    </w:p>
    <w:p>
      <w:pPr>
        <w:spacing w:after="0" w:line="118" w:lineRule="exact"/>
        <w:rPr>
          <w:sz w:val="24"/>
          <w:szCs w:val="24"/>
          <w:color w:val="auto"/>
        </w:rPr>
      </w:pPr>
    </w:p>
    <w:p>
      <w:pPr>
        <w:ind w:left="20"/>
        <w:spacing w:after="0" w:line="161" w:lineRule="exact"/>
        <w:tabs>
          <w:tab w:leader="none" w:pos="1940" w:val="left"/>
          <w:tab w:leader="none" w:pos="2500" w:val="left"/>
          <w:tab w:leader="none" w:pos="44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89" w:lineRule="exact"/>
        <w:rPr>
          <w:sz w:val="24"/>
          <w:szCs w:val="24"/>
          <w:color w:val="auto"/>
        </w:rPr>
      </w:pPr>
    </w:p>
    <w:p>
      <w:pPr>
        <w:ind w:left="20"/>
        <w:spacing w:after="0" w:line="161" w:lineRule="exact"/>
        <w:tabs>
          <w:tab w:leader="none" w:pos="1940" w:val="left"/>
          <w:tab w:leader="none" w:pos="2500" w:val="left"/>
          <w:tab w:leader="none" w:pos="4480" w:val="left"/>
        </w:tabs>
        <w:rPr>
          <w:sz w:val="20"/>
          <w:szCs w:val="20"/>
          <w:color w:val="auto"/>
        </w:rPr>
      </w:pP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ectPr>
          <w:pgSz w:w="11900" w:h="16867" w:orient="portrait"/>
          <w:cols w:equalWidth="0" w:num="1">
            <w:col w:w="11240"/>
          </w:cols>
          <w:pgMar w:left="320" w:top="860" w:right="339" w:bottom="0" w:gutter="0" w:footer="0" w:header="0"/>
        </w:sectPr>
      </w:pP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Brandywine Operating Partnership, L.P.:</w:t>
      </w:r>
    </w:p>
    <w:p>
      <w:pPr>
        <w:sectPr>
          <w:pgSz w:w="11900" w:h="16867" w:orient="portrait"/>
          <w:cols w:equalWidth="0" w:num="1">
            <w:col w:w="11240"/>
          </w:cols>
          <w:pgMar w:left="320" w:top="860" w:right="339" w:bottom="0" w:gutter="0" w:footer="0" w:header="0"/>
          <w:type w:val="continuous"/>
        </w:sectPr>
      </w:pPr>
    </w:p>
    <w:bookmarkStart w:id="1" w:name="page2"/>
    <w:bookmarkEnd w:id="1"/>
    <w:p>
      <w:pPr>
        <w:spacing w:after="0" w:line="31" w:lineRule="exact"/>
        <w:rPr>
          <w:sz w:val="20"/>
          <w:szCs w:val="20"/>
          <w:color w:val="auto"/>
        </w:rPr>
      </w:pPr>
    </w:p>
    <w:p>
      <w:pPr>
        <w:ind w:left="20" w:right="240"/>
        <w:spacing w:after="0" w:line="34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60"/>
        <w:spacing w:after="0" w:line="213"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r>
        <w:rPr>
          <w:rFonts w:ascii="MS PGothic" w:cs="MS PGothic" w:eastAsia="MS PGothic" w:hAnsi="MS PGothic"/>
          <w:sz w:val="14"/>
          <w:szCs w:val="14"/>
          <w:color w:val="auto"/>
        </w:rPr>
        <w:t>☒</w:t>
      </w:r>
    </w:p>
    <w:p>
      <w:pPr>
        <w:spacing w:after="0" w:line="536" w:lineRule="exact"/>
        <w:rPr>
          <w:sz w:val="20"/>
          <w:szCs w:val="20"/>
          <w:color w:val="auto"/>
        </w:rPr>
      </w:pPr>
    </w:p>
    <w:p>
      <w:pPr>
        <w:sectPr>
          <w:pgSz w:w="11900" w:h="16838" w:orient="portrait"/>
          <w:cols w:equalWidth="0" w:num="5">
            <w:col w:w="1840" w:space="720"/>
            <w:col w:w="120" w:space="420"/>
            <w:col w:w="1580" w:space="360"/>
            <w:col w:w="1280" w:space="720"/>
            <w:col w:w="4200"/>
          </w:cols>
          <w:pgMar w:left="320" w:top="139" w:right="339" w:bottom="1440" w:gutter="0" w:footer="0" w:header="0"/>
        </w:sectPr>
      </w:pPr>
    </w:p>
    <w:p>
      <w:pPr>
        <w:spacing w:after="0" w:line="7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139" w:right="339" w:bottom="1440" w:gutter="0" w:footer="0" w:header="0"/>
          <w:type w:val="continuous"/>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Realty Trust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0"/>
          <w:szCs w:val="20"/>
          <w:color w:val="auto"/>
        </w:rPr>
      </w:pPr>
    </w:p>
    <w:p>
      <w:pPr>
        <w:sectPr>
          <w:pgSz w:w="11900" w:h="16838" w:orient="portrait"/>
          <w:cols w:equalWidth="0" w:num="2">
            <w:col w:w="2560" w:space="720"/>
            <w:col w:w="7960"/>
          </w:cols>
          <w:pgMar w:left="320" w:top="139" w:right="3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Operating Partnership, L.P.</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26" w:lineRule="exact"/>
        <w:rPr>
          <w:sz w:val="20"/>
          <w:szCs w:val="20"/>
          <w:color w:val="auto"/>
        </w:rPr>
      </w:pPr>
    </w:p>
    <w:p>
      <w:pPr>
        <w:sectPr>
          <w:pgSz w:w="11900" w:h="16838" w:orient="portrait"/>
          <w:cols w:equalWidth="0" w:num="2">
            <w:col w:w="2560" w:space="720"/>
            <w:col w:w="7960"/>
          </w:cols>
          <w:pgMar w:left="320" w:top="139" w:right="339" w:bottom="1440" w:gutter="0" w:footer="0" w:header="0"/>
          <w:type w:val="continuous"/>
        </w:sectPr>
      </w:pPr>
    </w:p>
    <w:p>
      <w:pPr>
        <w:spacing w:after="0" w:line="139"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900" w:h="16838" w:orient="portrait"/>
          <w:cols w:equalWidth="0" w:num="1">
            <w:col w:w="11240"/>
          </w:cols>
          <w:pgMar w:left="320" w:top="139" w:right="339" w:bottom="1440" w:gutter="0" w:footer="0" w:header="0"/>
          <w:type w:val="continuous"/>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Realty Trust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Operating Partnership, L.P.</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2"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4" w:lineRule="exact"/>
        <w:rPr>
          <w:sz w:val="20"/>
          <w:szCs w:val="20"/>
          <w:color w:val="auto"/>
        </w:rPr>
      </w:pPr>
    </w:p>
    <w:p>
      <w:pPr>
        <w:sectPr>
          <w:pgSz w:w="11900" w:h="16838" w:orient="portrait"/>
          <w:cols w:equalWidth="0" w:num="4">
            <w:col w:w="2320" w:space="700"/>
            <w:col w:w="200" w:space="340"/>
            <w:col w:w="140" w:space="340"/>
            <w:col w:w="7200"/>
          </w:cols>
          <w:pgMar w:left="320" w:top="139" w:right="339" w:bottom="1440" w:gutter="0" w:footer="0" w:header="0"/>
          <w:type w:val="continuous"/>
        </w:sectPr>
      </w:pPr>
    </w:p>
    <w:p>
      <w:pPr>
        <w:spacing w:after="0" w:line="246"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40"/>
          </w:cols>
          <w:pgMar w:left="320" w:top="139" w:right="339" w:bottom="1440" w:gutter="0" w:footer="0" w:header="0"/>
          <w:type w:val="continuous"/>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Realty Trust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0"/>
          <w:szCs w:val="20"/>
          <w:color w:val="auto"/>
        </w:rPr>
      </w:pPr>
    </w:p>
    <w:p>
      <w:pPr>
        <w:sectPr>
          <w:pgSz w:w="11900" w:h="16838" w:orient="portrait"/>
          <w:cols w:equalWidth="0" w:num="2">
            <w:col w:w="2560" w:space="720"/>
            <w:col w:w="7960"/>
          </w:cols>
          <w:pgMar w:left="320" w:top="139" w:right="3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Operating Partnership, L.P.</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26" w:lineRule="exact"/>
        <w:rPr>
          <w:sz w:val="20"/>
          <w:szCs w:val="20"/>
          <w:color w:val="auto"/>
        </w:rPr>
      </w:pPr>
    </w:p>
    <w:p>
      <w:pPr>
        <w:sectPr>
          <w:pgSz w:w="11900" w:h="16838" w:orient="portrait"/>
          <w:cols w:equalWidth="0" w:num="2">
            <w:col w:w="2560" w:space="720"/>
            <w:col w:w="7960"/>
          </w:cols>
          <w:pgMar w:left="320" w:top="139" w:right="339" w:bottom="1440" w:gutter="0" w:footer="0" w:header="0"/>
          <w:type w:val="continuous"/>
        </w:sectPr>
      </w:pPr>
    </w:p>
    <w:p>
      <w:pPr>
        <w:spacing w:after="0" w:line="139"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ectPr>
          <w:pgSz w:w="11900" w:h="16838" w:orient="portrait"/>
          <w:cols w:equalWidth="0" w:num="1">
            <w:col w:w="11240"/>
          </w:cols>
          <w:pgMar w:left="320" w:top="139" w:right="339" w:bottom="1440" w:gutter="0" w:footer="0" w:header="0"/>
          <w:type w:val="continuous"/>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Realty Trust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0"/>
          <w:szCs w:val="20"/>
          <w:color w:val="auto"/>
        </w:rPr>
      </w:pPr>
    </w:p>
    <w:p>
      <w:pPr>
        <w:sectPr>
          <w:pgSz w:w="11900" w:h="16838" w:orient="portrait"/>
          <w:cols w:equalWidth="0" w:num="2">
            <w:col w:w="2560" w:space="720"/>
            <w:col w:w="7960"/>
          </w:cols>
          <w:pgMar w:left="320" w:top="139" w:right="3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Operating Partnership, L.P.</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26" w:lineRule="exact"/>
        <w:rPr>
          <w:sz w:val="20"/>
          <w:szCs w:val="20"/>
          <w:color w:val="auto"/>
        </w:rPr>
      </w:pPr>
    </w:p>
    <w:p>
      <w:pPr>
        <w:sectPr>
          <w:pgSz w:w="11900" w:h="16838" w:orient="portrait"/>
          <w:cols w:equalWidth="0" w:num="2">
            <w:col w:w="2560" w:space="720"/>
            <w:col w:w="7960"/>
          </w:cols>
          <w:pgMar w:left="320" w:top="139" w:right="3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ectPr>
          <w:pgSz w:w="11900" w:h="16838" w:orient="portrait"/>
          <w:cols w:equalWidth="0" w:num="1">
            <w:col w:w="11240"/>
          </w:cols>
          <w:pgMar w:left="320" w:top="139" w:right="339" w:bottom="1440" w:gutter="0" w:footer="0" w:header="0"/>
          <w:type w:val="continuous"/>
        </w:sect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Realty Trust</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5" w:lineRule="exact"/>
        <w:rPr>
          <w:sz w:val="20"/>
          <w:szCs w:val="20"/>
          <w:color w:val="auto"/>
        </w:rPr>
      </w:pPr>
    </w:p>
    <w:p>
      <w:pPr>
        <w:sectPr>
          <w:pgSz w:w="11900" w:h="16838" w:orient="portrait"/>
          <w:cols w:equalWidth="0" w:num="4">
            <w:col w:w="2480" w:space="720"/>
            <w:col w:w="200" w:space="140"/>
            <w:col w:w="140" w:space="340"/>
            <w:col w:w="7220"/>
          </w:cols>
          <w:pgMar w:left="320" w:top="13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Brandywine Operating Partnership,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6" w:lineRule="exact"/>
        <w:rPr>
          <w:sz w:val="20"/>
          <w:szCs w:val="20"/>
          <w:color w:val="auto"/>
        </w:rPr>
      </w:pPr>
    </w:p>
    <w:p>
      <w:pPr>
        <w:sectPr>
          <w:pgSz w:w="11900" w:h="16838" w:orient="portrait"/>
          <w:cols w:equalWidth="0" w:num="4">
            <w:col w:w="2480" w:space="720"/>
            <w:col w:w="200" w:space="140"/>
            <w:col w:w="140" w:space="340"/>
            <w:col w:w="7220"/>
          </w:cols>
          <w:pgMar w:left="320" w:top="139" w:right="339" w:bottom="1440" w:gutter="0" w:footer="0" w:header="0"/>
          <w:type w:val="continuous"/>
        </w:sectPr>
      </w:pPr>
    </w:p>
    <w:p>
      <w:pPr>
        <w:jc w:val="both"/>
        <w:ind w:right="20"/>
        <w:spacing w:after="0" w:line="291" w:lineRule="auto"/>
        <w:rPr>
          <w:sz w:val="20"/>
          <w:szCs w:val="20"/>
          <w:color w:val="auto"/>
        </w:rPr>
      </w:pPr>
      <w:r>
        <w:rPr>
          <w:rFonts w:ascii="Times New Roman" w:cs="Times New Roman" w:eastAsia="Times New Roman" w:hAnsi="Times New Roman"/>
          <w:sz w:val="14"/>
          <w:szCs w:val="14"/>
          <w:color w:val="auto"/>
        </w:rPr>
        <w:t>As of June 30, 2025, the aggregate market value of the Common Shares of Beneficial Interest held by non-affiliates of Brandywine Realty Trust was $710,790,280 based upon the last reported sale price of $4.29 per share on the New York Stock Exchange on June 30, 2025. An aggregate of 173,711,848 Common Shares of Beneficial Interest was outstanding as of February 18, 2026.</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As of June 30, 2025, the aggregate market value of the 515,595 common units of limited partnership (“Units”) held by non-affiliates of Brandywine Operating Partnership, L.P. was $2,211,903 based upon the last reported sale price of $4.29 per share on the New York Stock Exchange on June 30, 2025 of the Common Shares of Beneficial Interest of Brandywine Realty Trust, the sole general partner of Brandywine Operating Partnership, L.P. (For this computation, the Registrant has excluded the market value of all Units beneficially owned by Brandywine Realty Trust.)</w:t>
      </w:r>
    </w:p>
    <w:p>
      <w:pPr>
        <w:spacing w:after="0" w:line="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u w:val="single" w:color="auto"/>
          <w:color w:val="auto"/>
        </w:rPr>
        <w:t>Documents Incorporated By Reference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Portions of the proxy statement for the 2025 Annual Meeting of Shareholders of Brandywine Realty Trust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combines the annual reports on Form 10-K for the year ended December 31, 2025 of Brandywine Realty Trust (the “Parent Company”) and Brandywine Operating Partnership, L.P. (the “Operating Partnership”). The Parent Company is a Maryland real estate investment trust, or REIT, that owns its assets and conducts its operations through the Operating Partnership, a Delaware limited partnership, and subsidiaries of the Operating Partnership. The Parent Company, the Operating Partnership and their consolidated subsidiaries are collectively referred to in this report as the “Company.” In addition, terms such as “we”, “us”, or “our” used in this report may refer to the Company, the Parent Company, or the Operating Partnership.</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Parent Company is the sole general partner of the Operating Partnership and as of December 31, 2025, owned a 99.7% interest in the Operating Partnership. The remaining 0.3% interest consists of common units of limited partnership interest issued by the Operating Partnership to third parties in exchange for contributions of properties to the Operating Partnership. As the sole general partner of the Operating Partnership, the Parent Company has full and complete authority over the Operating Partnership’s day-to-day operations and management.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general partner with control of the Operating Partnership, the Parent Company consolidates the Operating Partnership for financial reporting purposes, and the Parent Company does not have significant assets other than its investment in the Operating Partnership. Therefore, the assets and liabilities of the Parent Company and the Operating Partnership are the same in their respective financial statements. The separate discussions of the Parent Company and the Operating Partnership in this report should be read in conjunction with each other to understand the results of the Company’s operations on a consolidated basis and how management operates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enterprise. The management of the Parent Company consists of the same members as the management of the Operating Partnership. These members are officers of both the Parent Company and of the Operating 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combining the annual reports on Form 10-K of the Parent Company and the Operating Partnership into a single report will:</w:t>
      </w:r>
    </w:p>
    <w:p>
      <w:pPr>
        <w:spacing w:after="0" w:line="27" w:lineRule="exact"/>
        <w:rPr>
          <w:sz w:val="20"/>
          <w:szCs w:val="20"/>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a better understanding by the investors of the Parent Company and the Operating Partnership by enabling them to view the business as a whole in the same manner as management views and operates the business;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duplicative disclosures and provide a more straightforward presentation in light of the fact that a substantial portion of the disclosure applies to both the Parent Company and the Operating Partnership;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time and cost efficiencies through the preparation of one combined report instead of two separate reports.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few differences between the Parent Company and the Operating Partnership, which are reflected in the footnote disclosures in this report. The Company believes it is important to understand the differences between the Parent Company and the Operating Partnership in the context of how these entities operate as an interrelated consolidated company. The Parent Company is a REIT, whose only material asset is its ownership of the partnership interests of the Operating Partnership. As a result, the Parent Company does not conduct business itself, other than acting as the sole general partner of the Operating Partnership, issuing equity from time to time (and contributing the net proceeds of such issuances to the Operating Partnership) and guaranteeing the debt obligations of the Operating Partnership. The Operating Partnership holds substantially all the assets of the Company, including the Company's ownership interests in the real estate ventures described below. The Operating Partnership conducts the operations of the Company’s business and is structured as a partnership with no publicly traded equity. Except for net proceeds from equity issuances by the Parent Company, which are contributed to the Operating Partnership in exchange for partnership units, the Operating Partnership generates the capital required by the Company’s business through the Operating Partnership’s operations, by the Operating Partnership’s incurrence of indebtedness (directly and through subsidiaries) and through the issuance of partnership units of the Operating Partnership or equity interests in subsidiaries of the Operating Partnership.</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and noncontrolling interests in the Parent Company and the Operating Partnership’s equity are the main areas of difference between the consolidated financial statements of the Parent Company and the Operating Partnership. The common units of limited partnership interest in the Operating Partnership are accounted for as partners’ equity in the Operating Partnership’s financial statements while the common units of limited partnership interests held by parties other than the Parent Company are presented as noncontrolling interests in the Parent Company’s financial statements. The differences between the Parent Company and the Operating Partnership’s equity relate to the differences in the equity issued at the Parent Company and Operating Partnership levels.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t>To help investors understand the differences between the Parent Company and the Operating Partnership, this report presents the following as separate notes or sections for each of the Parent Company and the Operating Partnership:</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Company’s and Operating Partnership’s Equity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also includes separate Item 9A. (Controls and Procedures) disclosures and separate Exhibit 31 and 32 certifications for each of the Parent Company and the Operating Partnership in order to establish that the Chief Executive Officer and the Chief Financial Officer of each entity have made the requisite certifications and that the Parent Company and Operating Partnership are compliant with Rule 13a-15 or Rule 15d-15 of the Securities Exchange Act of 1934, as amended, and 18 U.S.C. § 1350.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 separate sections in this report for the Parent Company and the Operating Partnership specifically refer to the Parent Company and the Operating Partnership. In the sections that combine disclosures of the Parent Company and the Operating Partnership, this report refers to such disclosures as those of the Company. Although the Operating Partnership is generally the entity that directly or indirectly enters into contracts and real estate ventures and holds assets and debt, reference to the Company is appropriate because the business is one enterprise and the Parent Company operates the business through the Operating Partnership.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60" w:type="dxa"/>
            <w:vAlign w:val="bottom"/>
            <w:gridSpan w:val="15"/>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5800" w:type="dxa"/>
            <w:vAlign w:val="bottom"/>
            <w:gridSpan w:val="14"/>
            <w:vMerge w:val="restart"/>
          </w:tcPr>
          <w:p>
            <w:pPr>
              <w:ind w:left="260"/>
              <w:spacing w:after="0"/>
              <w:rPr>
                <w:sz w:val="20"/>
                <w:szCs w:val="20"/>
                <w:color w:val="auto"/>
              </w:rPr>
            </w:pPr>
            <w:r>
              <w:rPr>
                <w:rFonts w:ascii="Times New Roman" w:cs="Times New Roman" w:eastAsia="Times New Roman" w:hAnsi="Times New Roman"/>
                <w:sz w:val="18"/>
                <w:szCs w:val="18"/>
                <w:color w:val="0000FF"/>
              </w:rPr>
              <w:t>PART I</w:t>
            </w: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800" w:type="dxa"/>
            <w:vAlign w:val="bottom"/>
            <w:gridSpan w:val="14"/>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520" w:type="dxa"/>
            <w:vAlign w:val="bottom"/>
            <w:tcBorders>
              <w:top w:val="single" w:sz="8" w:color="0000FF"/>
            </w:tcBorders>
            <w:gridSpan w:val="4"/>
          </w:tcPr>
          <w:p>
            <w:pPr>
              <w:spacing w:after="0"/>
              <w:rPr>
                <w:sz w:val="22"/>
                <w:szCs w:val="22"/>
                <w:color w:val="auto"/>
              </w:rPr>
            </w:pPr>
          </w:p>
        </w:tc>
        <w:tc>
          <w:tcPr>
            <w:tcW w:w="5020" w:type="dxa"/>
            <w:vAlign w:val="bottom"/>
            <w:gridSpan w:val="9"/>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940" w:type="dxa"/>
            <w:vAlign w:val="bottom"/>
            <w:gridSpan w:val="2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3"/>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3"/>
        </w:trPr>
        <w:tc>
          <w:tcPr>
            <w:tcW w:w="27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7820" w:type="dxa"/>
            <w:vAlign w:val="bottom"/>
            <w:gridSpan w:val="1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3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380" w:type="dxa"/>
            <w:vAlign w:val="bottom"/>
            <w:tcBorders>
              <w:top w:val="single" w:sz="8" w:color="0000FF"/>
            </w:tcBorders>
            <w:gridSpan w:val="3"/>
          </w:tcPr>
          <w:p>
            <w:pPr>
              <w:spacing w:after="0"/>
              <w:rPr>
                <w:sz w:val="22"/>
                <w:szCs w:val="22"/>
                <w:color w:val="auto"/>
              </w:rPr>
            </w:pPr>
          </w:p>
        </w:tc>
        <w:tc>
          <w:tcPr>
            <w:tcW w:w="8860" w:type="dxa"/>
            <w:vAlign w:val="bottom"/>
            <w:gridSpan w:val="2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3"/>
        </w:trPr>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640" w:type="dxa"/>
            <w:vAlign w:val="bottom"/>
            <w:gridSpan w:val="2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1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40" w:type="dxa"/>
            <w:vAlign w:val="bottom"/>
            <w:gridSpan w:val="10"/>
          </w:tcPr>
          <w:p>
            <w:pPr>
              <w:jc w:val="center"/>
              <w:ind w:right="4640"/>
              <w:spacing w:after="0"/>
              <w:rPr>
                <w:sz w:val="20"/>
                <w:szCs w:val="20"/>
                <w:color w:val="auto"/>
              </w:rPr>
            </w:pPr>
            <w:r>
              <w:rPr>
                <w:rFonts w:ascii="Times New Roman" w:cs="Times New Roman" w:eastAsia="Times New Roman" w:hAnsi="Times New Roman"/>
                <w:sz w:val="18"/>
                <w:szCs w:val="18"/>
                <w:color w:val="0000FF"/>
                <w:w w:val="95"/>
              </w:rPr>
              <w:t>PART II</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9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52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4"/>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4"/>
        </w:trPr>
        <w:tc>
          <w:tcPr>
            <w:tcW w:w="50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5500" w:type="dxa"/>
            <w:vAlign w:val="bottom"/>
            <w:gridSpan w:val="12"/>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3500" w:type="dxa"/>
            <w:vAlign w:val="bottom"/>
            <w:gridSpan w:val="3"/>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4"/>
        </w:trPr>
        <w:tc>
          <w:tcPr>
            <w:tcW w:w="2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8080" w:type="dxa"/>
            <w:vAlign w:val="bottom"/>
            <w:gridSpan w:val="19"/>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8540" w:type="dxa"/>
            <w:vAlign w:val="bottom"/>
            <w:gridSpan w:val="23"/>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7"/>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III</w:t>
            </w:r>
          </w:p>
        </w:tc>
        <w:tc>
          <w:tcPr>
            <w:tcW w:w="460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47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800" w:type="dxa"/>
            <w:vAlign w:val="bottom"/>
            <w:gridSpan w:val="1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110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4"/>
        </w:trPr>
        <w:tc>
          <w:tcPr>
            <w:tcW w:w="794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600" w:type="dxa"/>
            <w:vAlign w:val="bottom"/>
            <w:gridSpan w:val="2"/>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610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4440" w:type="dxa"/>
            <w:vAlign w:val="bottom"/>
            <w:gridSpan w:val="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1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500" w:type="dxa"/>
            <w:vAlign w:val="bottom"/>
            <w:gridSpan w:val="12"/>
          </w:tcPr>
          <w:p>
            <w:pPr>
              <w:jc w:val="center"/>
              <w:ind w:right="4360"/>
              <w:spacing w:after="0"/>
              <w:rPr>
                <w:sz w:val="20"/>
                <w:szCs w:val="20"/>
                <w:color w:val="auto"/>
              </w:rPr>
            </w:pPr>
            <w:r>
              <w:rPr>
                <w:rFonts w:ascii="Times New Roman" w:cs="Times New Roman" w:eastAsia="Times New Roman" w:hAnsi="Times New Roman"/>
                <w:sz w:val="18"/>
                <w:szCs w:val="18"/>
                <w:color w:val="0000FF"/>
                <w:w w:val="94"/>
              </w:rPr>
              <w:t>PART IV</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660" w:type="dxa"/>
            <w:vAlign w:val="bottom"/>
            <w:tcBorders>
              <w:top w:val="single" w:sz="8" w:color="0000FF"/>
            </w:tcBorders>
            <w:gridSpan w:val="5"/>
          </w:tcPr>
          <w:p>
            <w:pPr>
              <w:spacing w:after="0"/>
              <w:rPr>
                <w:sz w:val="22"/>
                <w:szCs w:val="22"/>
                <w:color w:val="auto"/>
              </w:rPr>
            </w:pPr>
          </w:p>
        </w:tc>
        <w:tc>
          <w:tcPr>
            <w:tcW w:w="460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22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600" w:type="dxa"/>
            <w:vAlign w:val="bottom"/>
            <w:tcBorders>
              <w:top w:val="single" w:sz="8" w:color="0000FF"/>
            </w:tcBorders>
            <w:gridSpan w:val="6"/>
          </w:tcPr>
          <w:p>
            <w:pPr>
              <w:spacing w:after="0"/>
              <w:rPr>
                <w:sz w:val="22"/>
                <w:szCs w:val="22"/>
                <w:color w:val="auto"/>
              </w:rPr>
            </w:pPr>
          </w:p>
        </w:tc>
        <w:tc>
          <w:tcPr>
            <w:tcW w:w="674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63"/>
        </w:trPr>
        <w:tc>
          <w:tcPr>
            <w:tcW w:w="10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Filing Format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combined Annual Report on Form 10-K is being filed separately by Brandywine Realty Trust (the “Parent Company”) and Brandywine Operating Partnership, L.P. (the “Operating Partnership”).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Securities Litigation Reform Act of 1995 (the “1995 Act”) provides a “safe harbor” for forward-looking statements. This report and other materials filed by us with the Securities and Exchange Commission (the “SEC”) (as well as information included in oral or other written statements made by us) contain statements that are forward-looking, including statements relating to business and real estate development activities, acquisitions, dispositions, future capital expenditures, financing sources, governmental regulation (including environmental regulation) and competition. We intend such forward-looking statements to be covered by the safe-harbor provisions of the 1995 Act. The words “anticipate,” “believe,” “estimate,” “expect,” “intend,” “will,” “should” and similar expressions, as they relate to us, are intended to identify forward-looking statements. Although we believe that the expectations reflected in such forward-looking statements are based on reasonable assumptions, we can give no assurance that our expectations will be achieved. These forward-looking statements are inherently uncertain, and actual results may differ from expectations. Our actual future results and trends may differ materially from expectations depending on a variety of factors discussed in our filings with the SEC. These factors include without limitation:</w:t>
      </w:r>
    </w:p>
    <w:p>
      <w:pPr>
        <w:spacing w:after="0" w:line="107"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national and local economic conditions, the real estate industry and the commercial real estate markets in which we operate, which would have a negative effect on, among other things:</w:t>
      </w: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occupancy levels and demand for office and other commercial space and rental rates;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tenants, many of which are financial, legal and other professional firms, our lenders, counterparties to our derivative financial instruments and institutions that hold our cash balances and short-term investments, which may expose us to increased risks of default by these parties;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on attractive terms or at all, which may adversely impact our future interest expense and our ability to pursue acquisition and development opportunities and refinance existing debt; and</w:t>
      </w:r>
    </w:p>
    <w:p>
      <w:pPr>
        <w:ind w:left="980" w:hanging="324"/>
        <w:spacing w:after="0" w:line="250"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 valuations, a decline in which may limit our ability to dispose of assets at attractive prices or obtain or maintain debt financing secured by our properties or on an unsecured basis and may result in additional impairments of our real estate;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owners, developers and investors, including for tenants and investment opportunities;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lease unoccupied space in accordance with our projections, including on account of changing work patterns and reduced demand for our real estate;</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re-lease occupied space upon expiration of leases, including on account of changing work patterns and reduced demand for office space;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defaults and the bankruptcy of major tenants;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capital and credit markets, including changes that reduce availability, and increase costs,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rates, which would increase our borrowing costs and could adversely affect the market price of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financing at budgeted levels for developments and redevelopments;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interest rate hedging contracts to perform as expected and the effectiveness of such arrangements;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which, among other things, has increased our operating expenses and costs for supplies and labor;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acquisitions, developments and other investments, including projects undertaken through joint ventures and equity investments in third parties, to perform as expected;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purchase, integration and operation of our acquisitions;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delays to complete, lease-up and operate our developments and redevelopments, including on account of shortages of, and delays in shipping of, supplies and materials for our developments and redevelopments;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 charges;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cost overruns associated with land development, including building and construction moratoriums and inability to obtain necessary zoning, land-use, building, occupancy and other required governmental approvals, construction cost increases or overruns and construction delays;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liquidity of real estate investments, which could make it difficult for us to respond to changing economic or financial conditions or changes in the operating performance of our properties;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from natural disasters, including hurricanes and other weather-related events, which could result in substantial costs to us;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epidemics, pandemics, or other outbreaks of illness, disease or virus and the action taken by government authorities and others related thereto, including actions that restrict or limit the ability of our Company, our properties and our tenants to operate;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losses due to insurance deductibles, self-insurance retention, uninsured claims or casualties, or losses in excess of applicable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or lack of availability of, adequate insurance, including for terrorist acts or 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terrorist attacks or other acts or threats of violence and threats to public safety;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changes to U.S. trade and foreign relations policies, including the imposition of tariffs;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conflicts;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U.S. government shutdown;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through cyber attacks, cyber intrusions or otherwise, as well as other significant disruptions of our information technology (IT) networks and related systems, which support our operations and our properties;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workplace and tenant space demands driven by technology, employee culture and commuting patterns;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tenant services beyond those traditionally provided by landlords;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and clean-up costs incurred under environmental or other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investments in real estate ventures and unconsolidated entities, including our lack of sole decision-making authority and our reliance on our venture partners’ financial condition;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real estate venture partners to fund venture obligations or perform under our real estate venture development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growth effectively into new product types within our portfolio and real estate venture arrangements;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dispositions to close in a timely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compliance costs relating to laws and regulations governing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federal, state and local tax audits;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regulations relating to our status as a real estate investment trust, or REIT, and the adverse consequences of our failure to qualify as a REIT;</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their application or interpretation, and our ability to make estimates and the assumptions underlying the estimates, which could have an effect on our earnings; and</w:t>
      </w: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control over financial reporting may not be considered effective which could result in a loss of investor confidence in our financial reports, and in turn could have an adverse effect on the market price of our securities.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Given these uncertainties, and the other risks identified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elsewhere in this report, we caution readers not to place undue reliance on forward-looking statements. We assume no obligation to update or supplement forward-looking statements as a result of subsequent events, new information, changed circumstances,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 self-administered and self-managed real estate investment trust (“REIT”) engaged in the acquisition, development, redevelopment, ownership, management, and operation of a portfolio of office, life science/lab, residential and mixed-use properties. During the twelve months ended December 31, 2025, we owned and managed properties within four segments: (1) Philadelphia Central Business District (“Philadelphia CBD”), (2) Pennsylvania Suburbs,</w:t>
      </w:r>
    </w:p>
    <w:p>
      <w:pPr>
        <w:spacing w:after="0" w:line="1" w:lineRule="exact"/>
        <w:rPr>
          <w:sz w:val="20"/>
          <w:szCs w:val="20"/>
          <w:color w:val="auto"/>
        </w:rPr>
      </w:pPr>
    </w:p>
    <w:p>
      <w:pPr>
        <w:jc w:val="both"/>
        <w:ind w:firstLine="8"/>
        <w:spacing w:after="0" w:line="252" w:lineRule="auto"/>
        <w:tabs>
          <w:tab w:leader="none" w:pos="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Austin, Texas, and (4) Other. The Philadelphia CBD segment includes properties located in the City of Philadelphia, Pennsylvania. The Pennsylvania Suburbs segment includes properties in Chester, Delaware and Montgomery counties in the Philadelphia suburbs. The Austin, Texas segment includes properties in the City of Austin, Texas. The Other segment includes properties in Washington, D.C., Northern Virginia, Southern Maryland, Camden County, New Jersey and New Castle County, Delaware. In addition to our four segments, our corporate group is responsible for cash and investment management, development/redevelopment of certain real estate properties during the construction period, and certain other general support functions. See Note 1 “Organization of the Parent Company and the Operating Partnership,” to our Consolidated Financial Statements for our property portfolio, management services and land holdings. Unless otherwise indicated, all references in this Form 10-K to “square feet” represent the net rentable area.</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Parent Company was organized and commenced its operations in 1986 as a Maryland REIT. The Parent Company owns its assets and conducts its operations through the Operating Partnership and subsidiaries of the Operating Partnership. The Operating Partnership was formed in 1996 as a Delaware limited partnership. The Parent Company controls the Operating Partnership as its sole general partner. See Note 1 “Organization of the Parent Company and the Operating Partnership,” to our Consolidated Financial Statements for the Parent Company's ownership interest in the Operating Partnership. The ownership interests in the Operating Partnership not owned by the Company consist of common units of limited partnership issued to the holders in exchange for contributions of properties to the Operating Partnership. Our structure as an “UPREIT” is designed, in part, to permit persons contributing properties to us to defer some or all of the tax liability they might otherwise incur in a sale of properties. We have offices in Philadelphia, Pennsylvania; Radnor, Pennsylvania; McLean, Virginia; Mount Laurel, New Jersey; Richmond, Virginia; Wilmington, Delaware; and Austin, Texas.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2929 Arch Street, Suite 1800, Philadelphia, PA 19104, our telephone number is (610) 325-5600 and our website is www.brandywinerealty.com. The content on any website referred to in this Form 10-K is not incorporated by reference into this Form 10-K.</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information with the SEC. The SEC maintains an Internet site that contains reports, proxy and information statements, and other information regarding issuers that file electronically with the SEC. The address of that site is http://www.sec.gov. Our annual reports on Form 10-K, quarterly reports on Form 10-Q, current reports on Form 8-K, and other information filed or furnished by us with the SEC are available, without charge, on our website, http://www.brandywinerealty.com, as soon as reasonably practicable after they are electronically filed or furnished with the SEC. Copies are also available, free of charge, upon written request to Investor Relations, Brandywine Realty Trust, 2929 Arch Street, Suite 1800, Philadelphia, PA 19104.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18 “Segment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to our Consolidated Financial Statements for information on results of operations of our reportable segments for the years ended December 31, 2025, 2024, and 2023 and balance sheet amounts as of December 31, 2025 and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From time to time we consider joint venture opportunities with institutional investors or other real estate companies. Joint venture partnerships provide us with additional sources of capital to share investment risk and fund capital requirements. In some instances, joint venture partnerships provide us with additional local market insight or product type expertise. For information regarding our joint ventures, see Note 4 “Investment in Unconsolidated Real Estate Ventures,” to our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Developments/Redevelopments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regular interaction with tenants and other market participants help to keep us current on innovations in workplace layout and smart living. We leverage this information to identify properties primed for development or redevelopment to meet tenant demands and realize value. The expertise and relationships that we have built from managing complex construction projects allow us to add new assets to our portfolio and renovate existing assets in our portfolio.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 and Strategies for Growth</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Our business objective is to deploy capital effectively to maximize our return on investment and thereby maximize our total return to shareholders. To accomplish this objective we seek to:</w:t>
      </w: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concentrate on urban town centers and central business districts in selected regions, and be the best of class owner and developer in those markets with a full-service office in each of those markets providing property management, leasing, development/redevelopment, and construction expertise;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cash flow through leasing strategies designed to capture rental growth as rental rates increase and as leases are renewed;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 high tenant retention rates by providing a full array of property management, maintenance services and tenant service amenity programs responsive to the varying needs of our diverse tenant base;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cultivate long-term leasing relationships with a diverse base of high-quality and financially stable tenants;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economic diversification of our tenant base while maximizing economies of scale;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joint ventures with high-quality partners having attractive real estate holdings or significant financial resources;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our reputation as a full-service real estate development/redevelopment and management organization to identify acquisition and development/redevelopment opportunities that will expand our business and create long-term value;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dispose of properties that do not support our long-term business objectives and growth strategies.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consider the following to be important objectives:</w:t>
      </w:r>
    </w:p>
    <w:p>
      <w:pPr>
        <w:spacing w:after="0" w:line="27" w:lineRule="exact"/>
        <w:rPr>
          <w:sz w:val="20"/>
          <w:szCs w:val="20"/>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own and develop high-quality office, life science/lab, residential, and mixed-use properties meeting the demands of today’s tenants who require sophisticated telecommunications and related infrastructure, support services, sustainable features and amenities, and to manage those facilities so as to continue to be the landlord of choice for both existing and prospective tenants;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capitalize on our redevelopment expertise to selectively develop, redevelop and reposition properties in desirable locations that other organizations may not have the resources to pursue;</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opportunistically acquire high-quality office, life science/lab, residential, and mixed-use properties at attractive yields in markets that we expect will experience economic growth and where we can achieve operating efficiencies;</w:t>
      </w: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monetize or deploy our land inventory for development of high-quality office, life science/lab, residential, and mixed-use properties, or to rezone our land and properties from office/industrial to life science/lab, residential, retail and hotel to align with market and demand shifts as appropriate;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development/redevelopment sites, including sites under purchase options, that could support high-quality office, life science/lab, residential, and mixed-use properties within our core markets;</w:t>
      </w: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strategically grow our portfolio through the development/redevelopment and acquisition of new product types that support our strategy of transit-oriented and amenity based mixed-use properties located in the central business district of Philadelphia, Pennsylvania; Pennsylvania Suburbs; and Austin, Texas;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third-party development/redevelopment contracts, which can be a significant source of revenue and enable us to utilize and grow our existing development/redevelopment and construction management resources.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concentrate our real estate activities in markets where we believe that:</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projected market rents and absorption statistics justify construction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maximize market penetration by accumulating a critical mass of properties and thereby enhance operating efficiencies;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 (such as zoning restrictions, utility availability, infrastructure limitations, development moratoriums and limited developable land) will create supply constraints on available space;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potential for economic growth, particularly job growth and industry diversification.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to continue to operate in markets where we have a concentration advantage due to economies of scale. We believe that where possible, it is best to operate with a strong base of properties in order to benefit from the personnel allocation and the market strength associated with managing multiple properties in the same market. We also intend to selectively dispose of properties and redeploy capital if we determine a property cannot meet our long-term earnings growth expectations. We believe that recycling capital is an important aspect of maintaining the overall quality of our portfolio.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broader strategy remains focused on continuing to grow earnings, enhance liquidity and strengthen our balance sheet through debt reduction, targeted sales activity and management of our existing and prospective liabilities.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well positioned in our current markets and have the expertise to take advantage of both development/redevelopment and acquisition opportunities, as warranted by market and economic conditions, in new markets that have healthy long-term fundamentals and strong growth projections. This capability, combined with what we believe is a conservative financial structure, should allow us to achieve disciplined growth and are integral to our strategy of having a diverse portfolio of assets in order to meet the needs of our tenants.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experienced on-site construction superintendents, operating under the supervision of our project managers and senior management, to control the construction process and mitigate the various risks associated with real estate development.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fund developments, redevelopments and acquisitions, as well as refurbish and improve existing properties, we primarily use proceeds from property dispositions, excess cash from operations after satisfying our dividend and other financing requirements, and external sources of debt and equity capital, including from joint venture partners. The availability of funds for new investments and maintenance of existing properties largely depends on capital markets and liquidity factors over which we can exert little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real estate business is highly competitive. Our properties compete for tenants with similar properties primarily on the basis of location, total occupancy costs (including base rent and operating expenses), services and amenities provided, and the design and condition of the improvements. As leases at our properties expire, we may encounter significant competition to renew or re-let space in light of the large number of competing properties within the markets in which we operate. As a result, we may be required to provide rent concessions or abatements, incur charges for tenant improvements and other inducements, including early termination rights or below market renewal options, or we may not be able to timely lease vacant space. In such cases, our financial condition, results of operations, cash flow, per share trading price of our common shares and ability to satisfy our debt service obligations and to pay dividends may be adversely affected.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face competition when attempting to acquire, sell or develop real estate, including competition from domestic and foreign financial institutions, other REITs, life insurance companies, pension funds, partnerships and individual investors. Our competitors may be able to pay higher property acquisition prices, may have private access to opportunities not available to us and otherwise may be in a better position to acquire a property. Competition may also have the effect of reducing the number of acquisition opportunities available to us, increasing the price required to consummate an acquisition opportunity and generally reducing the demand for office, retail, mixed-use and multifamily space in our markets. Similarly, competition with sellers of similar properties to locate suitable purchasers may result in us receiving lower proceeds from a sale or in us not being able to dispose of a property at a time of our choosing due to the lack of an acceptable return. Our ability to compete also depends upon trends in the economies of our markets, investment alternatives, financial condition and operating results of current and prospective tenants, availability and cost of capital, construction and renovation costs, land availability, our ability to obtain necessary construction approvals, taxes, governmental regulations, legislation and population trends.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Properties in our markets are subject to various laws, ordinances, and regulations, including regulations relating to common areas. We believe we have the necessary permits and approvals to operate each of our properties.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operations are subject to various federal, state, and local environmental laws and regulations governing land, water, and wetlands resources. Among these are certain laws and regulations under which an owner or operator of real estate could become liable for the costs of removal or remediation of certain hazardous or toxic substances present on or in such property. Such laws often impose liability without regard to whether the owner knew of, or was responsible for, the presence of such hazardous or toxic substances. The presence of such substances, or the failure to properly remediate such substances, may subject the owner to substantial liability and may adversely affect the owner’s ability to develop the property or to borrow using such real estate as collateral.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typically manage this potential liability through performance of Phase I Environmental Site Assessments and, as necessary, Phase II Environmental Site Assessments which include environmental sampling on properties we acquire or develop. Even with these assessments and testings, no assurance can be given that environmental liabilities do not exist, that the reports revealed all environmental liabilities, or that no prior owner created or permitted any material environmental condition not known to us. In certain situations, we have also sought to avail ourselves of legal and regulatory protections offered by federal and state authorities to prospective purchasers of property. Where applicable studies have resulted in the determination that remediation was required by applicable law, the necessary remediation is typically incorporated into the operational or development activity of the relevant property. We are not aware of any environmental liability that we believe would have a material adverse effect on our business, assets, or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environmental laws impose liability on a previous owner of a property to the extent that hazardous or toxic substances were present during the prior ownership period. A transfer of the property does not necessarily relieve an owner of such liability. Thus, although we are not aware of any such situation, we may have such liabilities on properties previously sold. We believe that we and our properties are in compliance in all material respects with applicable federal, state, and local laws, ordinances, and regulations governing the environment. For additional information, see Item 1A. “Risk Factors – Regulatory Risk Factors – Potential liability for environmental contamination could result in substantial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Insurance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our properties, we carry commercial general liability insurance, and all-risk property insurance, including business interruption and loss of rental income coverage. We select policy specifications and insured limits that we believe to be appropriate given the relative risk of loss and the cost of the coverage. We also carry environmental insurance and title insurance policies on our properties. We generally obtain title insurance policies when we acquire a property, with each policy covering an amount equal to the initial purchase price of each property. Accordingly, any of our title insurance policies may be in an amount less than the current value of the related property. Additional information about risk factors that may affect us is included in “Item 1A.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Security</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face risks associated with breaches of our information technology systems, including through cyber attacks and cyber intrusions, which could result in significant disruptions of our information technology networks and related systems and unauthorized access to our information and information of our tenants and personnel. The Audit Committee of our Board (the “Audit Committee”) receives and reviews periodic reports on cybersecurity matters from our Chief Technology and Innovation Officer, including reports on documented incidents or violations of our IT and security policies. Documented incidents or violations are discussed, and managers are notified for the appropriate follow-up with our human resources department or the employees involved in such incidents or violations, as needed. Our Board and the Audit Committee regularly evaluate our information technology and security policies and controls to address new and novel threats to our systems. We have implemented a training program for employees that includes both proactive education modules, as well as reactive anti-phishing and testing modules designed to test the end-user’s ability to put what they have learned into practice.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268 full-time employees and ten part-time employees. We seek to maintain a challenging, enriching, respectful, inclusive, collaborative and rewarding work environment for our employees whom we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1" w:name="page12"/>
    <w:bookmarkEnd w:id="11"/>
    <w:p>
      <w:pPr>
        <w:ind w:right="20"/>
        <w:spacing w:after="0" w:line="261" w:lineRule="auto"/>
        <w:rPr>
          <w:sz w:val="20"/>
          <w:szCs w:val="20"/>
          <w:color w:val="auto"/>
        </w:rPr>
      </w:pPr>
      <w:r>
        <w:rPr>
          <w:rFonts w:ascii="Times New Roman" w:cs="Times New Roman" w:eastAsia="Times New Roman" w:hAnsi="Times New Roman"/>
          <w:sz w:val="18"/>
          <w:szCs w:val="18"/>
          <w:color w:val="auto"/>
        </w:rPr>
        <w:t>consider to be among our most valuable assets. We maintain policies and programs that we believe reflect our continued commitment to our employees, including:</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competitive compensation program and benefits package;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protocols which prioritize employee health, safety and well-being;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career development opportunities and a tuition reimbursement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assessment of the engagement, satisfaction and retention of our employees.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Social Responsibility and Corporate Governance</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committed to implementing and maintaining sustainability, social responsibility, and corporate governance standards while driving value through continual improvement of our operations, portfolio performance, and community impact. In 2025, we received our eleventh annual Global Real Estate Sustainability Benchmark (“GRESB”) Green Star ranking. We achieved Green Lease Leaders Platinum recognition in the category’s inaugural year, recognizing our collaboration with tenants to equitably align financial and environmental benefits and renewed this certification in 2025 for an additional three years. We remain committed to energy efficiency throughout our portfolio.</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remain committed to supporting our employees and the communities where we operate. We promote meritocracy through employee engagement. Employees are given access to mentorship and tuition reimbursement opportunities as well as numerous programs to promote health and wellness. Brandywine maintains and encourages the use of over 74 acres of green space for community engagement including a focus on biodiversity through our onsite, honey generating, beekeeping habitats and on-site micro farms.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our environmental, social, and governance strategies and policies, please visit the “Responsibility” section of our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 is not incorporated by reference into this Annual Report.</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2" w:name="page13"/>
    <w:bookmarkEnd w:id="12"/>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these risk factors, together with all of the other information included in this Annual Report on Form 10-K, including our consolidated financial statements and the related notes thereto, before you decide whether to make an investment in our securities. The Risk Factor Summary that follows should be read in conjunction with the detailed description of risk factors below. The risks set out below are not the only risks we face. Additional risks and uncertainties not currently known to us or that we currently deem to be immaterial also may materially and adversely affect our business, prospects, financial condition, cash flows, liquidity, funds from operations, results of operations, share price, ability to service our indebtedness, and/or ability to make cash distributions to our security holders (including those necessary to maintain our REIT qualification). In such case, the value of our common shares and the trading price of our securities could decline, and you may lose all or a significant part of your investment. Some statements in the following risk factors constitute forward looking statements. Please refer to the explanation of the qualifications and limitations on forward-looking statements under “Forward-Looking Statements” of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Risk Factors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economic and geopolitical conditions could have a material adverse effect on our results of operations, financial condition and our ability to pay distributions to our shareholders.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affected by global, national and local economic conditions. Our portfolio consists primarily of office buildings (as compared to real estate companies with portfolios of multiple asset classes). Our financial performance and the value of our real estate assets, and consequently the value of our securities, are subject to the risk that if our properties do not generate revenues sufficient to meet our operating expenses, including debt service and capital expenditures, our cash flow, results of operations, financial condition and ability to make distributions to our security holders will be adversely affected. The following factors, among others, may materially and adversely affect the income generated by our properties and our performance generally:</w:t>
      </w:r>
    </w:p>
    <w:p>
      <w:pPr>
        <w:spacing w:after="0" w:line="3" w:lineRule="exact"/>
        <w:rPr>
          <w:sz w:val="20"/>
          <w:szCs w:val="20"/>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international, national or local economic and demographic conditions, which may result, from among other things, government policies and regulations, tariffs, market dynamics, rising interest rates, inflation, international trade disputes, government shutdowns and geopolitical conflicts;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vacancies or our inability to rent space on favorable terms, including market pressures to offer tenants rent abatements, increased tenant improvement packages, early termination rights, below market rental rates or below-market renewal options;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job losses in the financial and professional services industries may occur, which may decrease demand for office space, causing market rental rates and property values to be negatively impacted;</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space utilization by our tenants due to technology, economic conditions, impact of pandemics, and business culture may decrease demand for office space, causing market rental rates and property values to be negatively impacted;</w:t>
      </w: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our tenants may result in tenant defaults under leases, including due to bankruptcy, and adversely impact our ability to collect rents from our tenants;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office and mixed-use properties, and increased supply of such properties;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non-discretionary operating costs, including insurance expense, utilities, real estate taxes, state and local taxes, labor shortages and heightened security costs may not be offset by increased market rental rates;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due to inflation may not be offset by increased market rental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values of our properties would limit our ability to dispose of assets at attractive prices, limit our access to debt financing secured by our properties and reduce the availability of unsecured loans;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reduced availability of financing and reduced liquidity in the capital markets may adversely affect our ability or the ability of potential buyers of properties and tenants of properties to obtain financing on favorable terms, or at all;</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lenders under our unsecured credit facility could refuse or be unable to fund their financing commitment to us and we may not be able to replace the financing commitment of any such lenders on favorable terms, or at all;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disturbances, earthquakes and other natural disasters, or terrorist acts or acts of war may result in uninsured or underinsured losses.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is dependent upon the economic conditions of the markets in which our properties are located.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will be significantly influenced by the economies and other conditions of the real estate markets in which we operate, particularly in Philadelphia, Pennsylvania, the suburbs of Philadelphia, Pennsylvania, and Austin, Texas. Any adverse changes in economic conditions in any of these economies or real estate markets could negatively affect cash available for distribution and debt service. Our financial performance and ability to make distributions to our shareholders and pay debt service is particularly sensitive to the economic conditions in these markets. The local economic climate, which may be adversely impacted by business layoffs or downsizing, industry slowdowns, changing demographics and other factors, and local real estate conditions, such as demand for office space, operating expenses and real estate taxes, may affect revenues and the value of properties, including properties to be acquired or developed.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in the future incur, impairment charges.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on a quarterly basis our real estate portfolios for indicators of impairment. Impairment charges reflect management's judgment of the probability and severity of the decline in the value of real estate assets and investments we own. These charges and provisions may be required as a result of factors beyond our control, including, among other things, changes in our expected holding periods, changes in the economic environment and market conditions affecting the value of real property assets or natural or man-made disasters. During the year ended December 31, 2025, we recognized aggregate impairment charges of $67.5 million, $63.4 million of which related to our Real Estate Investments and $4.1 million of which related to our Investment in Unconsolidated Real Estate Ventures. During the year ended December 31, 2024, we recognized aggregate impairment charges of $53.1 million, $44.7 million of which related to our Real Estate Investments and $8.4 million of which related to our Investment in Unconsolidated Real Estate Ventures. If we are required to take additional impairment charges, our results of operations could be adversely impacted. See Part II, Item 7, “Management’s Discussion and Analysis of Financial Condition and Results of Operations – Critical Accounting Policies and Estimates – Impairment.” See also Part II, Item 7, “Management’s Discussion and Analysis of Financial Condition and Results of Operations – Results of Operations – Comparison of Year Ended December 31, 2025 to the Year Ended December 31, 2024 – Provision for Impairment.”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adverse consequences due to the financial difficulties, bankruptcy or insolvency of our tenants.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Periodically, our tenants experience financial difficulties, including bankruptcy, insolvency or a general downturn in their business, and these difficulties may have an adverse effect on our cash flow, results of operations, financial condition and ability to make distributions to our shareholders. We cannot assure you that any tenant that files for bankruptcy protection will continue to pay us rent. A bankruptcy filing by or relating to one of our tenants or a lease guarantor would bar efforts by us to collect pre-bankruptcy debts from that tenant or lease guarantor, or its property, unless we receive an order permitting us to do so from the bankruptcy court. In addition, we cannot evict a tenant solely because of bankruptcy. The bankruptcy of a tenant or lease guarantor could delay our efforts to collect past due balances under the relevant leases, and could ultimately preclude collection of these sums. If a lease is assumed by the tenant in bankruptcy, all pre-bankruptcy balances due under the lease must be paid to us in full. If, however, a lease is rejected by a tenant in bankruptcy, we would have only a general, unsecured claim for damages. Any such unsecured claim would only be paid to the extent that funds are available and only in the same percentage as is paid to all other holders of general, unsecured claims. Restrictions under the bankruptcy laws further limit the amount of any other claims that we can make if a lease is rejected. As a result, it is likely that we would recover substantially less than the full value of the remaining rent during the term. See Part II, Item 7., “Management’s Discussion and Analysis of Financial Condition and Results of Operations - Factors that May Influence Future Results of Operations - Tenant Credit Risk.”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Real Estate Industry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increased operating costs, which might reduce our profitability.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properties are subject to increases in operating expenses such as for insurance, real estate taxes, cleaning, electricity, heating, ventilation and air conditioning, administrative costs and other costs associated with security, landscaping and repairs and maintenance of our properties. In general, our tenant leases allow us to pass through all or a portion of these costs to them. We cannot assure you, however, that tenants will actually bear the full burden of these increased costs, or that such increased costs will not lead them, or other prospective tenants, to seek office space elsewhere. If operating expenses increase, the availability of other comparable office space in our core geographic markets might limit our ability to increase rents; if operating expenses increase without a corresponding increase in revenues, our profitability could diminish and limit our ability to make distributions to shareholders.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in property development or redevelopment may be more costly or difficult to complete than we anticipate.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intend to continue to develop properties where market conditions warrant such investment. Once made, these investments may not produce results in accordance with our expectations. Risks associated with our development and construction activities include:</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favorable financing alternatives in the private and public debt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to pay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financial, technology and professional services sector as part of our tenant base;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costs exceeding original estimates due to high interest rates, inflation, diminished availability of materials and labor, and increases in the costs of materials and labor;</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lease-up delays resulting in increased debt service, fixed expenses and construction or renovation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funds and devotion of management’s time to projects that we do not complete;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rates and rents at newly completed properties may fluctuate depending on a number of factors, including market and economic conditions, resulting in lower than projected rental rates and a corresponding lower return on our investment;</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(including building moratoriums and anti-growth legislation) in obtaining necessary zoning, occupancy and other governmental permits;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restrictions by local zoning or planning authorities limiting our ability to develop and impacting the size of developments; and</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experience in developing or redeveloping properties in certain of our geographic markets may lead us to incorrectly project development costs and returns on our investments.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 Factors that May Influence Future Results of Operations - Development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projects and third party property management business may subject us to certain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hire and supervise third party contractors to provide construction, engineering and various other services for wholly owned development projects, development projects undertaken by real estate ventures in which we hold an equity interest and manage or properties we are managing on behalf of unaffiliated third parties. Certain of these contracts may be structured such that we are the principal rather than the agent. As a result, we may assume liabilities in the course of the project and be subjected to, or become liable for, claims for construction defects, negligent performance of work or other similar actions by third parties we have engaged. Adverse outcomes of disputes or litigation could negatively impact our business, results of operations and financial condition, particularly if we have not limited the extent of the damages to which we may be liable, or if our liabilities exceed the amounts of the insurance that we carry. Moreover, our tenants and third party customers may seek to hold us accountable for the actions of contractors because of our role even if we have technically disclaimed liability as a legal matter, in which case we may determine it necessary to participate in a financial settlement for purposes of preserving the tenant or customer relationship.</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Acting as a principal may also mean that we pay a contractor before we have been reimbursed, which exposes us to additional risks of collection in the event of a bankruptcy or insolvency. Similarly, a contractor may file for bankruptcy or commit fraud before completing a project that we have funded in part or in full. As part of our project management business, we are responsible for managing various contractors required for a project, including general contractors, in order to ensure that the cost of a project does not exceed the contract amount and that the project is completed on time. In the event that one or more of the contractors involved does not, or cannot, perform as a result of bankruptcy or for another reason, we may be responsible for cost overruns, as well as the consequences of late delivery. In the event that we have not accurately estimated our own costs of providing services under guaranteed cost contracts, we may be exposed to losses on such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projects may be dependent on strategic alliances with unaffiliated third parties.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face challenges in managing our strategic alliances. As our development projects become more complex, the need for trust, collaboration, and equitable risk-sharing is essential to the success of these projects. The alliances we engage in are driven by the complementary skills and capabilities of our partners. Despite the diligence performed establishing these alliances, our objectives may not fully align with those of our partners throughout the development project or projects. Disagreements with one or more third parties with whom we partner in the development of one or more of the development components may restrict our ability to act exclusively in our own interests. In addition, failure of one or more third parties with whom we partner to fulfill obligations to us could result in delays and increased costs to us associated with finding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suitable replacement partner. Increased costs could require us to revise or abandon our activities entirely with respect to one or more components of the project and, in such event, we would not recover, and would be required to write-off, costs we had capitalized in development.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development of mixed-use commercial properties.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are currently developing, and may in the future develop, properties either alone or through real estate ventures that are known as “mixed-use” developments. In addition to the development of office space, mixed-use projects may also include space for life science/lab, residential, hotel or other commercial purposes. If a development project consists of a non-office or non-retail use, we may seek to develop that component ourselves, assign the rights to that component to a third-party developer with experience in that use, or we may seek to partner with such a developer. If we do not assign the rights or partner with such a developer, or if we choose to develop the other component ourselves, we would be exposed not only to those risks typically associated with the development of properties for office and retail use generally, but also to specific risks associated with the development and ownership of non-office and non-retail real estate. In addition, even if we assign the rights to develop certain components or elect to participate in the development through a real estate venture, we may be exposed to the risks associated with the failure of the other party to complete the development as expected. These include the risk that the other party would default on its obligations, necessitating that we complete the other component ourselves (including providing any necessary financing). In the case of residential properties, these risks also include competition for prospective residents from other operators whose properties may be perceived to offer a better location or better amenities or whose rent may be perceived as a better value given the quality, location and amenities that the resident seeks. Because we have limited experience with residential properties, we expect to retain third parties to manage our residential properties. In the case of hotel properties, the risks also include increases in inflation and utilities that may not be offset by increases in room rates. We are also dependent on business and commercial travelers and tourism. If we decide not to sell or participate in a real estate venture and instead hire a third party manager, we would be dependent on their key personnel to provide services on our behalf and we may not find a suitable replacement if the management agreement is terminated, or if key personnel leave or otherwise become unavailable to 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property acquisitions.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acquired in the past and intend to continue to pursue the acquisition of properties, including large portfolios that would increase our size and potentially alter our capital structure. The success of such transactions is subject to a number of factors, including the risks that:</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acquire a desired property because of competition from other potential acquirers with significant capital, and even if we are able to acquire a desired property, such potential acquirers may significantly increase the purchase price or result in other less favorable terms;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financing for such acquisitions on favorable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properties may fail to perform as expected;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enter into an acquisition agreement for a property, we may be unable to complete that acquisition after making a non-refundable deposit and incurring certain other acquisition-related costs;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costs of repositioning, redeveloping or maintaining acquired properties may be higher than our estimates;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properties may be located in new markets where we may have limited knowledge and understanding of the local economy, an absence of business relationships in the area or unfamiliarity with local governmental and permitting procedures; and</w:t>
      </w:r>
    </w:p>
    <w:p>
      <w:pPr>
        <w:ind w:left="660" w:right="2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efficiently integrate acquired properties, particularly portfolios of properties, into our organization and manage new properties in a way that allows us to realize anticipated cost savings and synergies.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realization of any of the above risks could significantly and adversely affect our ability to meet our financial expectations, our financial condition, results of operations, and cash flows, our ability to make distributions to our shareholders, the market price of our common stock, and our ability to satisfy our debt service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properties may subject us to known and unknown liabilities.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Properties that we acquire may be subject to known and unknown liabilities for which we would have no recourse, or only limited recourse, to the former owners of such properties or otherwise. As a result, if a liability were asserted against us based upon ownership of acquired property, we might be required to pay significant sums to settle it, which could adversely affect our financial results and cash flow. Unknown liabilities relating to acquired properties could include:</w:t>
      </w:r>
    </w:p>
    <w:p>
      <w:pPr>
        <w:spacing w:after="0" w:line="3" w:lineRule="exact"/>
        <w:rPr>
          <w:sz w:val="20"/>
          <w:szCs w:val="20"/>
          <w:color w:val="auto"/>
        </w:rPr>
      </w:pPr>
    </w:p>
    <w:p>
      <w:pPr>
        <w:ind w:left="5540" w:right="3880" w:hanging="5208"/>
        <w:spacing w:after="0" w:line="887"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clean-up of pre-existing disclosed or undisclosed environmental contamination;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tenants, vendors, municipalities or other persons arising on account of actions or omissions of the former owners or occupants of the properties; and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or re-lease space as leases expire; certain leases may expire early.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tenants do not renew their leases upon expiration, we may be unable to re-lease the space. Even if the tenants do renew their leases or if we can re-lease the space, the terms of renewal or re-leasing (including the cost of required renovations) may be less favorable than the current lease terms. Certain leases grant the tenants an early termination right upon payment of a termination penalty or if we fail to comply with certain material lease terms. Our inability to renew or release spaces and the early termination of certain leases could adversely affect our ability to make distributions to shareholders. See Item 7., “Management’s Discussion and Analysis of Financial Condition and Results of Operations - Factors that May Influence Future Results of Operations - Tenant Rollover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real estate developers.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real estate developers, operators and institutions for tenants and acquisition and development opportunities. Some of these competitors may have significantly greater financial resources than we have. Some of these competitors may be less sensitive to risks with respect to the creditworthiness of a tenant or the geographic concentration of their investments. These entities also may have more favorable relationships and pricing with suppliers and contractors and may complete construction projects sooner and at lower costs than we are able. Such competition may reduce the number of suitable investment opportunities available to us, may interfere with our ability to attract and retain tenants and may increase vacancies, which could result in increased supply and lower market rental rates, reducing our bargaining leverage and adversely affect our ability to improve our operating leverage. In addition, some of our competitors may be willing (e.g., because their properties may have vacancy rates higher than those for our properties) to make space available at lower rental rates or with higher tenant concession percentages than available space in our properties. We cannot assure you that this competition will not adversely affect our cash flow and our ability to make distributions to shareholders.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ownership through unconsolidated real estate ventures may limit our ability to act exclusively in our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acquire, and contribute properties in unconsolidated real estate ventures with other persons or entities when we believe circumstances warrant the use of such structures. For information regarding our unconsolidated real estate ventures, see Note 4 “Investment in Unconsolidated Real Estate Ventures,” to our Consolidated Financial Statements. We could become engaged in a dispute with one or more of our venture partners that might affect our ability to operate a jointly-owned property. Moreover, our venture partners may, at any time, have business, economic or other objectives that are inconsistent with our objectives, including objectives that relate to the appropriate timing and terms of any sale or refinancing of a property. In some instances, our venture partners may have competing interests in our markets that could create conflicts of interest. If the objectives of our venture partners or the lenders to our unconsolidated real estate ventures are inconsistent with our own objectives, we may not be able to act exclusively in our interests and the value of our investment in the unconsolidated real estate ventures may be affected.</w:t>
      </w:r>
    </w:p>
    <w:p>
      <w:pPr>
        <w:spacing w:after="0" w:line="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Preferred equity, mezzanine loans, and other investments that are subordinated or otherwise junior in an issuer’s capital structure and that involve privately negotiated structures will expose us to greater risk of loss.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previously made equity investments and may in the future make or acquire additional preferred equity investments, mezzanine loans and other investments that are subordinated or otherwise junior in an entity's capital structure and that involve privately negotiated structures. To the extent we invest in subordinated debt or mezzanine tranches of an entity’s capital structure, or in preferred equity instruments, such investments and our remedies with respect thereto, including the ability to foreclose on collateral (if any) securing such investments, will be subject to the rights of holders of more senior tranches in the entity's capital structure and, to the extent applicable, contractual intercreditor, co-lender and/or participation agreement provisions. Significant losses related to such investments or loans could adversely affect our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real estate is illiquid, we may be unable to sell properties when in our best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investments generally, and in particular large office and mixed use properties like those that we own, often cannot be sold quickly. The capitalization rates at which properties may be sold could be higher than historical rates, thereby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reducing our potential proceeds from sale. Consequently, we may not be able to alter our portfolio promptly in response to changes in economic or other conditions. In addition, the Internal Revenue Code of 1986, as amended (the "Internal Revenue Code"), limits our ability, as a REIT, to sell properties that we have held for fewer than two years without potential adverse consequences to us. Furthermore, properties that we have developed and have owned for a significant period of time or that we acquired in exchange for partnership interests in the Operating Partnership often have a low tax basis. If we were to dispose of any of these properties in a taxable transaction, we may be required under provisions of the Internal Revenue Code applicable to REITs to distribute a significant amount of the taxable gain to our shareholders and this could, in turn, impact our cash flow. In some cases, tax protection agreements with third parties will prevent us from selling certain properties in a taxable transaction without incurring substantial costs. In addition, purchase options and rights of first refusal held by tenants or partners in unconsolidated real estate ventures may also limit our ability to sell certain properties. All of these factors reduce our ability to respond to changes in the performance of our investments and could adversely affect our cash flow and ability to make distributions to shareholders as well as the ability of someone to purchase us, even if a purchase were in our shareholders’ best interests.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agreed not to sell certain of our properties and to maintain indebtedness subject to guarantees.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acquired in the past and in the future may acquire properties or portfolios of properties through tax deferred contribution transactions in exchange for partnership interests in our Operating Partnership. This acquisition structure has the effect, among other factors, of reducing the amount of tax depreciation we can deduct over the tax life of the acquired properties, and typically requires that we agree to protect the contributors’ ability to defer recognition of taxable gain through restrictions on our ability to dispose of the acquired properties and/or the allocation of partnership debt to the contributors to maintain their tax bases. We have agreed not to sell some of our properties for varying periods of time, in transactions that would trigger taxable income to the former owners, and we may enter into similar arrangements as a part of future property acquisitions. These agreements generally provide that we may dispose of the subject properties only in transactions that qualify as tax-free exchanges under Section 1031 of the Internal Revenue Code or in other tax deferred transactions. Such transactions can be difficult to complete and can result in the property acquired in exchange for the disposed of property inheriting the tax attributes (including tax protection covenants) of the sold property. Violation of such tax protection agreements may impose significant costs on us. As a result, we are restricted with respect to decisions related to financing, encumbering, expanding or selling these properties. These restrictions on dispositions could limit our ability to sell an asset or pay down partnership debt during a specified time, or on terms, that would be favorable absent such restrictions.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entered into agreements that provide prior owners of properties with the right to guarantee specific amounts of indebtedness and, in the event that the specific indebtedness that they guarantee is repaid or reduced, we would be required to provide substitute indebtedness for them to guarantee. These agreements may hinder actions that we may otherwise desire to take to repay or refinance guaranteed indebtedness because we would be required to make payments to the beneficiaries of such agreements if we violate these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property taxes could increase due to property tax rate changes or reassessment, which would adversely impact our cash flows.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continue to qualify as a REIT for federal income tax purposes, we will be required to pay some state and local taxes on our properties. The real property taxes on our properties may increase as property tax rates change or as our properties are assessed or reassessed by taxing authorities. If the property taxes we pay increase, our cash flow would be adversely impacted, and our ability to pay any expected dividends to our stockholders and unitholders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increased use of artificial intelligence (“AI ”) and automation may change the uses, space configurations and tenant requirements for certain of our properties in currently unforeseen ways.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companies in certain industries have integrated AI and other advanced technologies, such as robotics and advanced automation of recurring tasks, into their businesses. It is widely thought that most industries are in only the early stages of an advanced technology revolution that may have profound, and largely currently unknown, impacts on their businesses. It is currently unknown how the ongoing adoption of such advanced technologies and automation across industries will impact the optimal space configurations and infrastructure features, and we may face new tenant requirements and requests that will require significant expenditures that may not be entirely recoverable through increased rents. For example, the adoption of AI by our tenants may lead to infrastructure requirements that our buildings currently do not accommodate, such as increased power needs due to high-performance computing. Infrastructure upgrades may necessitate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substantial capital expenditures and could potentially impact the environmental footprint of our building operations. If technological developments result in a reduction or reconfiguration in space requirements by our tenants, demand by individual tenants and prospective tenants for space may decrease over time. If we are not able to offset any reduction in demand from the foregoing developments through repurposing space, property dispositions, or other means, the realization of any of the aforementioned risks could have a material adverse impact on our business, revenues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rates and regulatory requirements may adversely affect our cash flow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increases in income and service taxes are generally not passed through to tenants under leases, such increases may adversely affect our cash flow and ability to make expected distributions to shareholders. Our properties are also subject to various regulatory requirements, such as those relating to the environment, fire and safety. Our failure to comply with these requirements could result in the imposition of fines and damage awards and could result in a default under some of our tenant leases. Moreover, the costs to comply with any new or different regulations could adversely affect our cash flow and our ability to make distributions to shareholders. We cannot assure you that these requirements will not change or that newly imposed conditions will not require significant expenditures in order to be compliant.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liability for environmental contamination could result in substantial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various federal, state and local laws, ordinances and regulations, we may be liable for the costs to investigate and remove or remediate hazardous or toxic substances on or in our properties, often regardless of whether we know of or are responsible for the presence of these substances. These costs may be substantial. While we do maintain environmental insurance, we cannot be assured that our insurance coverage will be sufficient to protect us from all of the aforesaid remediation costs. Also, if hazardous or toxic substances are present on a property, or if we fail to adequately remediate such substances, our ability to sell or rent the property or to borrow using that property as collateral may be adversely affected.</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laws and regulations govern indoor and outdoor air quality including those that can require the abatement or removal of asbestos-containing materials in the event of damage, demolition, renovation or remodeling and also govern emissions of and exposure to asbestos fibers in the air. The maintenance and removal of lead paint and certain electrical equipment containing polychlorinated biphenyls (PCBs) and underground storage tanks are also regulated by federal and state laws. We are also subject to risks associated with human exposure to chemical or biological contaminants such as molds, pollens, viruses and bacteria which, above certain levels, can be alleged to be connected to allergic or other health effects and symptoms in susceptible individuals. We could incur fines for environmental compliance and be held liable for the costs of remedial action with respect to the foregoing regulated substances or tanks or related claims arising out of environmental contamination or human exposure to contamination at or from our properties.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we develop, manage, lease and/or operate various properties for third parties. Consequently, we may be considered to have been or to be an operator of these properties and, therefore, potentially liable for removal or remediation costs or other potential costs that could relate to hazardous or toxic substances.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Americans with Disabilities Act compliance could be costly.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Americans with Disabilities Act of 1990, or the ADA, requires that all public accommodations and commercial facilities, including office buildings, meet certain federal requirements related to access and use by disabled persons. Compliance with ADA requirements could involve the removal of structural barriers from certain disabled persons’ entrances which could adversely affect our financial condition and results of operations. Other federal, state and local laws may require modifications to or restrict further renovations of our properties with respect to such accesses. Noncompliance by us with the ADA or similar or related laws or regulations could result in the imposition on us of governmental fines or in awards of damages against us in favor of private litigants. In addition, changes to existing requirements or enactments of new requirements could require significant expenditures. Such costs may adversely affect our cash flow and ability to make distributions to shareholders.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REIT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 as a REIT would subject us to U.S. federal income tax which would reduce the cash available for distribution to our shareholders.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our business to qualify to be taxed as a REIT for federal income tax purposes. We have not requested and do not plan to request a ruling from the IRS that we qualify as a REIT, and the statements in this report are not binding on the IRS or any court. As a REIT, we generally will not be subject to federal income tax on the income that we distribute currently to our shareholders. Many of the REIT requirements, however, are highly technical and complex. The determination that we are a REIT requires an analysis of various factual matters and circumstances that may not be entirely within our control. For example, to qualify as a REIT, at least 95% of our gross income must come from specific passive sources, such as rent, that are itemized in the REIT tax laws. In addition, to qualify as a REIT, we cannot own specified amounts of debt and equity securities of some issuers. We also are required to distribute to our shareholders with respect to each year at least 90% of our REIT taxable income (excluding net capital gains). The fact that we hold substantially all of our assets through the Operating Partnership and its subsidiaries and unconsolidated real estate ventures further complicates the application of the REIT requirements for us. Even a technical or inadvertent mistake could jeopardize our REIT status and, given the highly complex nature of the rules governing REITs and the ongoing importance of factual determinations, we cannot provide any assurance that we will continue to qualify as a REIT. Congress and the IRS might make changes to the tax laws and regulations, and the courts might issue new rulings or interpretations of tax law, that make it more difficult, or impossible, for us to remain qualified as a REIT. If we fail to qualify as a REIT for federal income tax purposes and are able to avail ourselves of one or more of the statutory savings provisions in order to maintain our REIT status, we would nevertheless be required to pay penalty taxes of $50,000 or more for each such failure.</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If we fail to qualify as a REIT for federal income tax purposes, and are unable to avail ourselves of certain savings provisions set forth in the Internal Revenue Code, we would be subject to federal income tax at regular corporate rates on all of our income. As a taxable corporation, we would not be allowed to take a deduction for distributions to shareholders in computing our taxable income or pass through long term capital gains to individual shareholders at favorable rates. For tax years beginning before January 1, 2018, we also could be subject to the federal alternative minimum tax and possibly increased state and local taxes. We would not be able to elect to be taxed as a REIT for four years following the year we first failed to qualify unless the IRS were to grant us relief under certain statutory provisions. In addition, for tax years beginning after December 31, 2022, we would possibly also be subject to certain taxes enacted by the Inflation Reduction Act of 2022 that are applicable to non-REIT corporations, such as the nondeductible one percent excise tax on certain stock repurchases. If we failed to qualify as a REIT, we would have to pay significant income taxes, which would reduce our net earnings available for investment or distribution to our shareholders. This likely would have a significant adverse effect on our earnings and likely would adversely affect the value of our securities. In addition, we would no longer be required to pay any distributions to shareholders.</w:t>
      </w:r>
    </w:p>
    <w:p>
      <w:pPr>
        <w:spacing w:after="0" w:line="2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the Operating Partnership (or a subsidiary partnership or unconsolidated real estate venture) to be treated as a partnership would have serious adverse consequences to our shareholders.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IRS were to successfully challenge the tax status of the Operating Partnership or any of its subsidiary partnerships or unconsolidated real estate ventures for federal income tax purposes, the Operating Partnership or the affected subsidiary partnership or unconsolidated real estate venture would be taxable as a corporation. In such event, we would cease to qualify as a REIT and the imposition of a corporate tax on the Operating Partnership, subsidiary partnership or unconsolidated real estate venture would reduce the amount of cash available for distribution from the Operating Partnership to us and ultimately to our shareholders.</w:t>
      </w:r>
    </w:p>
    <w:p>
      <w:pPr>
        <w:spacing w:after="0" w:line="16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subsidiary REIT failed to qualify as a REIT, we could be directly or indirectly subject to higher taxes and could fail to remain qualified as a REIT.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directly or indirectly (through disregarded subsidiaries or pass-through entities) own shares of certain subsidiaries that have elected to be taxed as REITs for U.S. federal income tax purposes. Any such subsidiary REIT is subject to the REIT qualification requirements and other limitations described herein that are applicable to us. If any such subsidiary REIT were to fail to qualify as a REIT, then (i) such subsidiary REIT would become subject to U.S. federal income tax and applicable state and local taxes on its taxable income at regular corporate rates and (ii) our ownership of shares in such subsidiary REIT would cease to be a qualifying asset for purposes of the asset tests applicable to REITs. In that case, it is possible that we would fail certain of the asset tests applicable to REITs, in which event we would fail to qualify as a REIT unless we could avail ourselves of certain relief provisions.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To maintain our REIT status, we may be forced to borrow funds on a short-term basis during unfavorable market conditions.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REIT, we are subject to certain distribution requirements, including the requirement to distribute 90% of our REIT taxable income. These requirements may result in our having to make distributions at a disadvantageous time or to borrow funds at unfavorable rates. Compliance with this requirement may hinder our ability to operate solely on the basis of maximizing profits.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pay some taxes even if we qualify as a REIT, which will reduce the cash available for distribution to our shareholders.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qualify as a REIT for federal income tax purposes, we may be required to pay certain federal, state and local taxes on our income and properties. For example, we will be subject to income tax to the extent we distribute less than 100% of our REIT taxable income, including capital gains. Additionally, we will be subject to a 4% nondeductible excise tax on the amount, if any, by which dividends paid by us in any calendar year are less than the sum of 85% of our ordinary income, 95% of our capital gain net income and 100% of our undistributed income from prior years. Moreover, if we have net income from “prohibited transactions,” that income will be subject to a 100% penalty tax. In general, prohibited transactions are sales or other dispositions of property held primarily for sale to customers in the ordinary course of business. The determination as to whether a particular sale or series of sales is/are a prohibited transaction depends on the facts and circumstances related to that sale. We cannot guarantee that sales of our properties would not be prohibited transactions unless we comply with certain statutory safe-harbor provisions.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net taxable income earned directly by our taxable REIT subsidiaries, or through entities that are disregarded for federal income tax purposes as entities separate from our taxable REIT subsidiaries, will be subject to federal and possibly state corporate income tax. In this regard, several provisions of the laws applicable to REITs and their subsidiaries ensure that a taxable REIT subsidiary will be subject to an appropriate level of federal income taxation. For example, a taxable REIT subsidiary is limited in its ability to deduct certain interest payments made to an affiliated REIT. In addition, the REIT has to pay a 100% penalty tax on some payments that it receives or on some deductions taken by a taxable REIT subsidiary if the economic arrangements between the REIT, the REIT’s customers, and the taxable REIT subsidiary are not comparable to similar arrangements between unrelated parties. Finally, even if we continue to qualify as a REIT for federal income tax purposes, we will be required to pay some state and local real property taxes on our properties, and some state and local jurisdictions may tax some of our income even though as a REIT we are not subject to federal income tax on that income because not all states and localities follow the federal income tax treatment of REITs. To the extent that we and our affiliates are required to pay federal, state and local taxes, we will have less cash available for distributions to our shareholders.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tax audit rules could have a material adverse effect on 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rules applicable to U.S. federal income tax audits of partnerships, subject to certain exceptions, any audit adjustment to items of income, gain, loss, deduction, or credit of a partnership (and any partner’s distributive share thereof) is determined, and taxes, interest, or penalties attributable thereto could be assessed and collected, at the partnership level. Absent available elections, it is possible that the Operating Partnership, and any other partnership in which we directly or indirectly invest, could be required to pay additional taxes, interest and penalties as a result of an audit adjustment, and we, as a direct or indirect partner of a partnership, could be required to bear the economic burden of those taxes, interest, and penalties even though we may not otherwise have been required to pay additional taxes had we owned the assets of these partnerships directly. There can be no assurance that these rules will not have a material adverse effect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related to REITs could materially and adversely affect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the federal income tax laws or regulations governing REITs or the other administrative interpretations of those laws or regulations may be changed, possibly with retroactive effect. We cannot predict if or when any new federal income tax law, regulation or administrative interpretation, or any amendment to any existing federal income tax law, regulation or administrative interpretation, will be adopted, promulgated or become effective or whether any such law, regulation or interpretation may take effect retroactively. We and our shareholders could be adversely affected by any such change in, or any new, federal income tax law, regulation or administrative interpretation.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transaction intended to qualify as a Section 1031 Exchange is later determined to be taxable, or if we are unable to identify and complete the acquisition of suitable replacement property to effect a Section 1031 Exchange, we may face adverse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seek to dispose of properties in transactions that are intended to qualify as tax-deferred “like kind exchanges” under Section 1031 of the Internal Revenue Code (a “Section 1031 Exchange”). It is possible that the qualification of a transaction as a Section 1031 Exchange could be successfully challenged and determined to be currently taxable. It is also possible that we are unable to identify and complete the acquisition of suitable replacement property to effect a Section 1031 Exchange. In any such case, our taxable income and earnings and profits would increase. This could increase the dividend income to our shareholders by reducing any return of capital they received. In some circumstances, we may be required to pay additional dividends or, in lieu of that, corporate income tax, possibly including interest and penalties. As a result, we may be required to borrow funds in order to pay additional dividends or taxes, and the payment of such taxes could cause us to have less cash available to distribute to our shareholders. In addition, if a Section 1031 Exchange were later to be determined to be taxable, we may be required to amend our tax returns for the applicable year in question, including any information reports we sent our shareholders. Moreover, it is possible that legislation could be enacted that could modify or repeal the laws with respect to Section 1031 Exchanges, which could make it more difficult or not possible for us to dispose of properties on a tax deferred basis.</w:t>
      </w:r>
    </w:p>
    <w:p>
      <w:pPr>
        <w:spacing w:after="0" w:line="19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the tax benefits and remain compliant within Qualified Opportunity Zones and Keystone Opportunity Zones may have adverse consequences.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properties have the benefit of governmental tax incentives for development in areas and neighborhoods which have not historically seen robust commercial development. These incentives typically have specific sunset provisions and may be subject to governmental discretion in the eligibility or award of the applicable incentives. We have invested and may continue to invest in Qualified Opportunity Zones as part of the federal program and Keystone Opportunity Zones in Pennsylvania due to the related tax benefits. The expiration of these incentive programs or the inability of potential tenants or users to be eligible for or to obtain governmental approval of the incentives may have an adverse effect on the value of our Properties and on our cash flow and net income, and may result in impairment charges. In addition, the failure to remain compliant with such programs may result in significant tax burdens.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limitations will exist with respect to a third party’s ability to acquire us or effectuate a change in control.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Limitations imposed to protect our REIT status. </w:t>
      </w:r>
      <w:r>
        <w:rPr>
          <w:rFonts w:ascii="Times New Roman" w:cs="Times New Roman" w:eastAsia="Times New Roman" w:hAnsi="Times New Roman"/>
          <w:sz w:val="18"/>
          <w:szCs w:val="18"/>
          <w:color w:val="auto"/>
        </w:rPr>
        <w:t>In order to protect us against the loss of our REIT status, our Declaration of Trust limits any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owning more than 9.8% in value of our outstanding shares, although we have granted in the past, and may continue to grant in the future certain waivers of this limitation to certain shareholders under certain conditions. The ownership limit may have the effect of precluding acquisition of control of us. If anyone acquires shares in excess of the ownership limit, we may:</w:t>
      </w:r>
    </w:p>
    <w:p>
      <w:pPr>
        <w:spacing w:after="0" w:line="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transfer to be null and void;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reflect the transaction on our books;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legal action to stop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pay dividends or other distributions with respect to those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recognize any voting rights for those shares;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shares held in trust for the benefit of a person to whom such shares may be transferred.</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Limitation due to our ability to issue preferred shares. </w:t>
      </w:r>
      <w:r>
        <w:rPr>
          <w:rFonts w:ascii="Times New Roman" w:cs="Times New Roman" w:eastAsia="Times New Roman" w:hAnsi="Times New Roman"/>
          <w:sz w:val="18"/>
          <w:szCs w:val="18"/>
          <w:color w:val="auto"/>
        </w:rPr>
        <w:t>Our Declaration of Trust authorizes our Board of Trustees to cause us to issue preferred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as to amount and without shareholder consent. Our Board of Trustees is able to establish the preferences and rights of any preferred shares issued and these shares could have the effect of delaying or preventing someone from taking control of us, even if a change in control were in our shareholders’ best interests.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Advance Notice Provisions for Shareholder Nominations and Proposals. </w:t>
      </w:r>
      <w:r>
        <w:rPr>
          <w:rFonts w:ascii="Times New Roman" w:cs="Times New Roman" w:eastAsia="Times New Roman" w:hAnsi="Times New Roman"/>
          <w:sz w:val="18"/>
          <w:szCs w:val="18"/>
          <w:color w:val="auto"/>
        </w:rPr>
        <w:t>Our bylaws require advance notice for shareholders to nominate persons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as trustees at, or to bring other business before, any meeting of our shareholders. This bylaw provision limits the ability of shareholders to make nominations of persons for election as trustees or to introduce other proposals unless we are notified in a timely manner prior to the meeting.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Disaster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 contagious disease could adversely affect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Pandemics, epidemics, and other public health crises have impacted, and could continue to impact many countries around the globe, including the U.S. Demand for space at our properties is dependent on a variety of macroeconomic factors, such as employment levels, inflation, interest rates, changes in stock market valuations, rent levels and availability of competing space. These factors can be significantly adversely affected by a variety of factors beyond our control. The impact of pandemics, epidemics and other public health crises could negatively impact our business in a number of ways, including: (i) deterioration in the financial condition of our tenants and in their ability to pay rents; (ii) reduction in demand for space in our portfolio; (iii) costs associated with construction delays and cost overruns at our development and redevelopment projects; (iv) costs associated with higher inflation rates; (v) reduction in availability of, and increased costs of, capital; and (vi) failure of our contract counterparties, including partners in unconsolidated real estate ventures, to meet their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possible risks associated with the physical effects of climate change.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physical effects of climate change could have a material adverse effect on our properties, operations and business. For example, many of our properties are located along the East Coast, particularly those in the central business districts of Philadelphia, Pennsylvania and Washington, D.C. To the extent climate change causes variations in weather patterns, our markets could experience increases in storm intensity, severe winter weather and rising sea-levels. Over time, these conditions could result in declining demand for office space in our buildings or our inability to operate the buildings at all. Climate change may also have indirect effects on our business by increasing the cost of (or making unavailable) property insurance on terms we find acceptable, increasing the cost of energy and increasing the cost of snow removal at our properties. While we maintain insurance coverage for flooding, we may not have adequate insurance to cover the associated costs of repair or reconstruction of sites for a major future event, lost revenue, including from new tenants that could have been added to our properties but for the event, or other costs to remediate the impact of a significant event. We also rely on a limited number of vendors to provide key services, including, but not limited to, utilities, at certain of our properties. If, as a result of unanticipated events, including those resulting from climate change, these vendors fail to adequately provide key services, we may experience significant interruptions in service and disruptions to business operations at our properties, incur remediation costs, and become subject to claims and damage to our reputation. There can be no assurance that climate change will not have a material adverse effect on our properties, operations or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key personnel.</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dependent upon our key personnel, particularly Gerard H. Sweeney - President and Chief Executive Officer, Thomas Wirth - Executive Vice President and Chief Financial Officer, Jeffrey DeVuono - Executive Vice President and Senior Managing Director, and William Redd – Executive Vice President and Senior Managing Director. Among the reasons that Messrs. Sweeney, Wirth, DeVuono and Redd are important to our success is that each has a favorable reputation, which attracts business and investment opportunities and assists us in negotiations with lenders, unconsolidated real estate venture partners and other investors. If we lost their services, our relationships with lenders, potential tenants and industry personnel could be affected. We are currently completing a transition of our Executive Vice President – Operations. Management transitions may create uncertainty and involve a diversion of resources and management attention, be disruptive to our daily operations or impact public or market perception, any of which could negatively impact our ability to operate effectively or execute strategies and result in a material adverse impact on our business, financial conditions and results of operations We are also dependent on our other executive officers for strategic business direction and real estate experience. Loss of their services could adversely affect our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make distributions is subject to various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we have paid quarterly distributions to our shareholders. Our ability to make distributions in the future will depend upon, among other things:</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and financial performance of our properties;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with respect to existing, developed and newly acquired properties;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and the interest rates on, our debt;</w:t>
      </w:r>
    </w:p>
    <w:p>
      <w:pPr>
        <w:spacing w:after="0" w:line="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needs of our unconsolidated real estate ventures;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costs associated with our operation as a publicly-held REIT;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significant expenditures relating to environmental and other regulatory matters.</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matters are beyond our control and any adverse changes could have a material adverse effect on our cash flow and our ability to make distributions to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possible federal, state and local tax audits.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are organized and qualify as a REIT, we are generally not subject to federal income taxes on our income that we distribute currently to our shareholders, but are subject to certain state and local taxes. Certain entities through which we own real estate have undergone tax audits. There can be no assurance that future audits will not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factors can have an adverse effect on the market value of our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might adversely affect the price of our securities, many of which are beyond our control. These factors include:</w:t>
      </w:r>
    </w:p>
    <w:p>
      <w:pPr>
        <w:spacing w:after="0" w:line="27" w:lineRule="exact"/>
        <w:rPr>
          <w:sz w:val="20"/>
          <w:szCs w:val="20"/>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relative to the dividend yield on our securities. If market interest rates go up, prospective purchasers of our securities may require a higher yield. Higher market interest rates would not, however, result in more funds for us to distribute and, to the contrary, would likely increase our borrowing costs and potentially decrease funds available for distribution. Thus, higher market interest rates could cause the market price of our common shares to go down;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benefit of an investment in our securities as compared to investment in securities of companies in other industries (including benefits associated with the tax treatment of dividends and distributions);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market professionals of REITs generally and REITs comparable to us in particular;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institutional investor interest in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low trading volumes in securities of REITs;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the stock market generally.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value of our common shares is based primarily upon the market’s perception of our growth potential and our current and potential future earnings and cash distributions. Consequently, our common shares may trade at prices that are higher or lower than our net asset value per common share. If our future earnings or cash distributions are less than expected, it is likely that the market price of our common shares will diminish.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equity securities may be dilutive to shareholders.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interests of our shareholders could be diluted if we issue additional equity securities to finance future developments or acquisitions or to repay indebtedness. Our Board of Trustees may authorize the issuance of additional equity securities without shareholder approval. In addition, in the past we have maintained a continuous offering program, which, when such program was effective, allowed us to issue shares in at-the-market offerings. We may in the future enter into a similar continuous offering program. Our ability to execute our business strategy depends upon our access to an appropriate blend of debt financing, including unsecured lines of credit and other forms of secured and unsecured debt, and equity financing, including the issuance of common and preferred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preferred securities may adversely affect the rights of holders of our common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Board of Trustees has the power to establish the preferences and rights of each class or series of preferred shares, we may afford the holders in any series or class of preferred shares preferences, distributions, powers and rights, voting or otherwise, senior to the rights of holders of common shares. Our Board of Trustees also has the power to establish the preferences and rights of each class or series of units in the Operating Partnership, and may afford the holders in any series or class of preferred units preferences, distributions, powers and rights, voting or otherwise, senior to the rights of holders of common units.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continued increase in interest rates would further increase our interest costs on variable rate debt and could adversely impact our ability to refinance existing debt or sell assets on favorable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Rising interest rates could limit our ability to refinance existing debt when it matures or significantly increase our future interest expense. From time to time, we enter into interest rate swap agreements and other interest rate hedging contracts. While these agreements are intended to lessen the impact of rising interest rates on us, they also expose us to the risk that the other parties to the agreements will not perform, we could incur significant costs associated with the settlement or termination of the agreements, the agreements will be unenforceable and the underlying transactions will fail to qualify as highly-effective cash flow hedges under the applicable accounting guidance. In addition, an increase in interest rates could decrease the amounts third parties are willing or able to pay for our assets, thereby limiting our ability to recycle capital and change our portfolio promptly in response to changes in economic or other conditions. For more information about our interest costs on variable rate debt see Part II, Item 7. "Management's Discussion and Analysis of Financial Condition and Results of Operations – Liquidity and Capital Resources."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degree of leverage could limit our ability to obtain additional financing or affect the market price of our equity shares or debt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documents do not contain any limitation on the amount of indebtedness we may incur. We are subject to risks associated with debt financing, such as the insufficiency of cash flow to meet required debt service payment obligations and the inability to refinance existing indebtedness. If our debt cannot be paid, refinanced or extended at maturity, we may not be able to make distributions to shareholders at expected levels or at all. Furthermore, an increase in our interest expense could adversely affect our cash flow and ability to make distributions to shareholders. If we do not meet our debt service obligations, any properties securing such indebtedness could be foreclosed on, which would have a material adverse effect on our cash flow and ability to make distributions and, depending on the number of properties foreclosed on, could threaten our continued viability. Our degree of leverage could also make us more vulnerable to a downturn in business or the economy in general.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and covenants relating to our indebtedness could adversely impact our economic performance.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credit facilities, term loans and the indentures governing our unsecured public debt securities contain (and any new or amended facility and term loans may contain) restrictions, requirements and other limitations on our ability to incur indebtedness, including total debt to asset ratios, secured debt to total asset ratios, debt service coverage ratios and minimum ratios of unencumbered assets to unsecured debt which we must maintain. Our ability to borrow under our credit facilities is subject to compliance with such financial and other covenants. In the event that we fail to satisfy these covenants, we would be in default under the credit facilities, the term loans and the indenture and may be required to repay such debt with capital from other sources. Under such circumstances, other sources of capital may not be available to us, or may be available only at unattractive terms. In addition, the mortgages on our properties, including mortgages encumbering our unconsolidated real estate ventures, contain customary covenants such as those that limit our ability, without the prior consent of the lender, to further mortgage the applicable property or to discontinue insurance coverage. If we breach covenants in our secured debt agreements, the lenders can declare a default and take possession of the property securing the defaulted loan. For more information about the terms and covenants relating to our indebtedness see Part II, Item 7. "Management's Discussion and Analysis of Financial Condition and Results of Operations – Liquidity and Capital Resources."</w:t>
      </w:r>
    </w:p>
    <w:p>
      <w:pPr>
        <w:spacing w:after="0" w:line="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mortgages include restrictive covenants and default provisions, which could limit our flexibility, limit our ability to sell the encumbered properties and require us to repay the indebtedness prior to its maturity.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mortgages on our properties contain customary negative covenants that, among other things, limit our ability, without the prior consent of the lender, to further mortgage or sell the encumbered property. The loan documents also contain customary financial, leasing and environmental covenants, cash management and reserve requirements, requirements regarding the management and maintenance of the encumbered properties and maintenance of insurance on the properties. The lenders under our mortgage loans may exercise certain rights under the loan documents, including the right to accelerate payment of the entire balance of the loans upon events of default.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downgrading of our debt could subject us to higher borrowing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our unsecured debt is downgraded by Moody’s Investor Services or Standard &amp; Poor’s from the current ratings, we would likely incur higher borrowing costs and the market prices of our common shares and debt securities might decline.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other acts of violence or war may adversely impact our performance and may affect the markets on which our securities are traded.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Terrorist attacks against our properties, or against the United States or our interests, may negatively impact our operations and the value of our securities. Attacks or armed conflicts could result in increased operating costs; for example, it might cost more in the future for building security, property and casualty insurance, and property maintenance. As a result of terrorist activities and other market conditions, the cost of insurance coverage for our properties could also increase. In addition, our insurance policies may not recover all of our property replacement costs and lost revenue resulting from an attack. We might not be able to pass through the increased costs associated with such increased security measures and insurance to our tenants, which could reduce our profitability and cash flow. Furthermore, any terrorist attacks or armed conflicts could result in increased volatility in or damage to the United States and worldwide financial markets and economy. Such adverse economic conditions could affect the ability of our tenants to pay rent and our cost of capital, which could have a negative impact on our results.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political and economic changes or instability, or other circumstances beyond our control could affect our business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may be adversely affected by social, political and economic instability, unrest or disruption, including legal, regulatory and policy changes by Congress or the presidential administration in the U.S., protests, demonstrations, strikes, riots, civil disturbance, disobedience, insurrection, or social and other political unrest. Such events have in the past, and may in the future, result in restrictions, curfews or other actions and give rise to significant changes in regional and global economic conditions and cycles, which may adversely affect our financial condition and operations.</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Changes in federal policy, including tax policies, and at regulatory agencies occur over time through policy and personnel changes, particularly following elections, which can lead to changes involving the level of oversight and focus on certain industries and corporate entities. The nature, timing, and economic and political effects of potential changes to the current legal and regulatory frameworks affecting the real estate industry remain highly uncertain. Additionally, changes in federal policy that affect the geopolitical landscape, such as the imposition of tariffs and changes to U.S. trade and foreign policy, have, and could in the future, lead to adverse effects on the U.S. domestic economy and our business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potential losses are not covered by insurance.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carry property insurance against all-risks of physical loss or damage (unless otherwise excluded in the policy) including time element and commercial general liability coverage on all of our properties. There are, however, types of losses, such as lease and other contract claims, biological, radiological and nuclear hazards and acts of war that generally are not insured. We cannot assure you that we will be able to renew insurance coverage in an adequate amount or at reasonable prices. In addition, insurance companies may no longer offer coverage against certain types of losses, such as losses due to earthquakes, terrorist acts and mold, flood, or, if offered, these types of insurance may be prohibitively expensive. Should an uninsured loss or a loss in excess of insured limits occur, we could lose all or a portion of the capital we have invested in a property, as well as the anticipated future revenue from the property. In such an event, we might nevertheless remain obligated for any mortgage debt or other financial obligations related to the property. We cannot assure you that material losses in excess of insurance proceeds will not occur in the future. If any of our properties were to experience a catastrophic loss, it could seriously disrupt our operations, delay revenue and result in large expenses to repair or rebuild the property. Such events could adversely affect our cash flow and ability to make distributions to shareholders. If one or more of our insurance providers were to fail to pay a claim as a result of insolvency, bankruptcy or otherwise, the nonpayment of such claims could have an adverse effect on our financial condition and results of operations. In addition, if one or more of our insurance providers were to become subject to insolvency, bankruptcy or other proceedings and our insurance policies with the provider were terminated or cancelled as a result of those proceedings, we cannot guarantee that we would be able to find alternative coverage in adequate amounts or at reasonable prices. In such case, we could experience a lapse in any or adequate insurance coverage with respect to one or more properties and be exposed to potential losses relating to any claims that may arise during such period of lapsed or inadequate coverage.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property and casualty insurance, we use a combination of insurance products, some of which include deductibles and self-insured retention amounts, to provide risk mitigation for the potential liabilities associated with various liabilities, including workers’ compensation, general contractors, directors and officers and employee health-care benefits. Liabilities associated with the risks that are retained by us are estimated, in part, by considering historical claims experience and actuarial assumptions. While we carry general liability and umbrella policies to mitigate such losses on our general liability risks, our results could be materially impacted by claims and other expenses related to such insurance plans if future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occurrences and claims differ from these assumptions and historical trends or if employee health-care claims which we self-insure up to a set limit per employee (and which are insured above such self-insured retention amount) exceed our expectations or historical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experienced, and may again experience, data security breach that may cause damage to our business and reputation.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maintain sensitive data, including our proprietary financial information, business information and the information of our tenants and business partners, in our data centers and on our networks. Security breaches or disruptions, mainly through cyber-attack or cyber intrusion, including by computer hackers, foreign governments and cyber terrorists, have generally increased in number, intensity and sophistication. Notwithstanding the security measures undertaken, our information technology has been, and may in the future be, vulnerable to attacks or breaches. One such event occurred on May 1, 2024 when we detected unauthorized occurrences by a third party on portions of our information technology systems that consisted of the third party’s unauthorized access to, and deployment of encryption to, a portion of our internal corporate information technology systems and the exfiltration of certain files, including files containing personal information. There can be no assurance that our security efforts and measures will be effective or that attempted security breaches or disruptions would not be successful or damaging. Protected information, networks, systems and facilities remain vulnerable because the techniques used in such attempted security breaches evolve and may not be recognized or detected until launched against a target. Accordingly, we may be unable to anticipate these techniques or implement adequate security barriers or other preventative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security breaches, including the one noted above, have in the past, and may in the future, result in one or more of the following harms:</w:t>
      </w:r>
    </w:p>
    <w:p>
      <w:pPr>
        <w:spacing w:after="0" w:line="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the proper functioning of our networks and systems and therefore our operations and/or those of our tenants;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misstated financial reports, violations of loan covenants, missed reporting deadlines, and/or missed permitting deadlines;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inability to properly monitor our compliance with the rules and regulations regarding our qualification as a REIT;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attention and resources to remedy any damages that result;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claims and lawsuits for breach of contract, damages, credits, penalties, or other agreements; and/or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our reputation among our tenants and investors generally.</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While we maintain insurance coverage that may, subject to policy terms and conditions including deductibles, cover specific aspects of cyber risks, such insurance coverage may be insufficient to cover all losses.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to whom we outsource certain of our functions are also subject to the risks outlined above. We review and assess the cybersecurity controls of our third-party service providers and vendors, as appropriate, and make changes to our business processes to manage these risks. Data breaches and/or the insolvency of such third parties and vendors may result in us incurring costs and may have other negative consequences.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Failure of the U.S. federal government to manage its fiscal matters or to avoid a government shutdown may negatively impact the economic environment and adversely impact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Congressional disagreement over the federal budget and the maximum amount of debt the federal government is permitted to have outstanding (commonly referred to as the “debt ceiling”), has previously caused the U.S. federal government to shut down for periods of time. A failure by the U.S. Congress to pass spending bills or address the debt ceiling at any point in the future would increase the risk of default by the U.S. on its obligations, the risk of a lowering of the U.S. federal government’s credit rating, and the risk of other economic dislocations. Such a failure, or the perceived risk of such a failure, could consequently have a material adverse effect on the financial markets and economic conditions in the U.S. and globally. If economic conditions severely deteriorate as a result of U.S. federal government fiscal gridlock, our operations, or those of our tenants, could be affected, which may adversely impact our financial condition and results of operations. These risks may also impact our overall liquidity, our borrowing costs, or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information management and communication systems and networks, and related platforms and applications, are integral to the operation of our business. We recognize the critical importance of developing, implementing, and maintaining robust cybersecurity measures to safeguard our information systems and protect the confidentiality, integrity, and availability of our data.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Material Risks &amp; Integrated Overall Risk Management</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risk management framework to facilitate a company-wide awareness of cybersecurity risk management. This integration ensures that cybersecurity considerations are an integral part of our decision-making processes at every level. Our management team works closely with our IT department to continuously evaluate and address cybersecurity risks in alignment with our business objectives and operational needs. Our information security processes are designed to manage material risks from cybersecurity threats to our information systems and maintain the confidentiality, integrity and availability of our data.</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also implemented a training program for employees that includes both proactive education modules, as well as reactive anti-phishing and testing modules designed to test the end-user’s ability to put what they learned into practice.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 Third-parties on Risk Management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 external experts, including cybersecurity assessors and consultants, in evaluating and testing our risk management systems. These partnerships enable us to leverage specialized knowledge and insights, ensuring our cybersecurity strategies and processes remain consistent with industry best practices. These third-parties have performed threat assessments, and provided consultation on security enhancements and evolving best practices.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Oversee Third-party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address risks associated with third-party service providers, we review and assess the cybersecurity controls of our third-party service providers and vendors, as appropriate, and make changes to our business processes to manage these risks. This approach is designed to mitigate risks related to data breaches or other security incidents originating from third-parties.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from Cybersecurity Threats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not experienced a cybersecurity threat or cybersecurity incident in the past three years that has materially adversely affected, or is reasonably likely to materially adversely affect, our results of operations or financial condition. However, we face risks associated with breaches of our information technology systems, including through cyber-attacks and cyber intrusions, which could result in significant disruptions of our information technology systems (and those of third parties which we use), and unauthorized access to our information and information of our tenants and personnel. On May 1, 2024, we detected unauthorized occurrences by a third party on portions of our information technology systems. Upon detecting the unauthorized occurrences, we promptly initiated our previously established response protocols and took steps to contain and remediate the incident. As part of our remediation activities, we strengthened our surveillance of cybersecurity threats and our information backup systems. A substantial portion of our direct costs incurred relating to containing, investigating and remediating the cybersecurity incident were reimbursed through insurance recoveries. The cybersecurity incident has not had a material impact on our financial condition or results of operations, and we do not believe the cybersecurity incident is reasonably likely to materially impact our financial condition or results of operations. Refer to “Item 1A. Risk Factors” in this Form 10-K, including “We have experienced, and may again experience, data security breach that may cause damage to our business and reputation,” for additional discussion about cybersecurity-related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and Oversight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Managing Risk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All Cybersecurity threats are reported to the Chief Technology and Innovation Officer (the “CTIO”), who promptly informs the General Counsel, Chief Financial Officer and other senior management officers of any cybersecurity incident or material cybersecurity threat. In the event of a cybersecurity incident, management is equipped with a comprehensive cybersecurity incident and breach management policy that addresses investigation, remediation, notification, communication and reporting. The cybersecurity incident and breach management policy prescribes actions to respond to the immediate cybersecurity incident as well as strategies intended to prevent future incidents.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the CTIO, Mr. Jim Kurek. With over 20 years of experience in technology across multiple verticals, his expertise includes all facets of information technology including cyber security, infrastructure and operations, digital transformation, and data analytics. Mr. Kurek brings a wealth of expertise to his role. His in-depth knowledge and experience are instrumental in developing and executing our cybersecurity strategies.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Trustee Oversight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Trustees recognizes the critical need to manage cybersecurity risks. The Board has established oversight mechanisms to enhance effective</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governance in managing risks associated with cybersecurity threats. The Audit Committee, comprised of board members with diverse experiences and expertise, is central to the Board’s oversight of management’s governance and management of cybersecurity risks and strategies.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least once each quarter, the CTIO provides reports to the Audit Committee, which include reports on any documented incidents or violations of our IT and security policies and an update on cybersecurity practices and matters. Documented incidents or violations are discussed, and managers are notified for the appropriate follow-up with our human resources department or the employees involved in such incidents or violations, as needed. Our Audit Committee regularly reviews with senior management our information technology and security policies and controls to address new and novel threats to our systems.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CTIO provides comprehensive briefings to the Board annually. These briefings include a review and discussion of (i) our cybersecurity, data privacy and other information technology risks and related risk management strategies, policies and procedures to protect our business systems and information, and (ii) strategies, policies and procedures to respond to potential security breach incidents, including communications plans and disaster recovery procedures.</w:t>
      </w:r>
    </w:p>
    <w:p>
      <w:pPr>
        <w:spacing w:after="0" w:line="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owned 60 properties that contain an aggregate of approximately 11.3 million net rentable square feet and consist of 56 office properties and four mixed-use properties (collectively, the “Core Properties”). We also own two recently completed not yet stabilized properties and three properties in development/redevelopment (collectively, the “Properties”). The properties are located in or near Philadelphia, Pennsylvania; Austin, Texas; Washington, D.C.; Southern New Jersey; and Wilmington, Delaware. As of December 31, 2025, the Core Properties were approximately 88.3% occupied. As of December 31, 2025, we also owned economic interests in seven unconsolidated real estate ventures. We refer to these ventures as “Commerce Square Venture,” “Mid-Atlantic Office Venture,” “Cira Square,” “One Uptown – Multifamily,” “One Uptown – Office” and “JBG.” See Note 4 “Investment in Unconsolidated Real Estate Ventures,” to our Consolidated Financial Statements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Statistics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Core Properties at December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Borders>
              <w:bottom w:val="single" w:sz="8" w:color="auto"/>
            </w:tcBorders>
            <w:shd w:val="clear" w:color="auto" w:fill="CCEEFF"/>
          </w:tcPr>
          <w:p>
            <w:pPr>
              <w:spacing w:after="0"/>
              <w:rPr>
                <w:sz w:val="19"/>
                <w:szCs w:val="19"/>
                <w:color w:val="auto"/>
              </w:rPr>
            </w:pPr>
          </w:p>
        </w:tc>
        <w:tc>
          <w:tcPr>
            <w:tcW w:w="2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Net Rentable Square Feet</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 Occupied</w:t>
            </w:r>
          </w:p>
        </w:tc>
      </w:tr>
      <w:tr>
        <w:trPr>
          <w:trHeight w:val="208"/>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PHILADELPHIA CENTRAL BUSINESS DISTRICT SEGMENT</w:t>
            </w:r>
          </w:p>
        </w:tc>
        <w:tc>
          <w:tcPr>
            <w:tcW w:w="22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Cira Center</w:t>
            </w:r>
          </w:p>
        </w:tc>
        <w:tc>
          <w:tcPr>
            <w:tcW w:w="2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730,187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94.2 %</w:t>
            </w:r>
          </w:p>
        </w:tc>
      </w:t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1717 Arch Street</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1,029,413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130</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18th Street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595,041</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18th Street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708,844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97.3 %</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1900 Market Street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456,922</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3020 Market Street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190,925</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89.2 %</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3000 Market Street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90,556</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618</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Street (a)</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FMC Tower at Cira Center South (a)</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625,863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Bulletin Building (a)</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282,709</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2930 Chestnut Street (a)</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PHILADELPHIA CENTRAL BUSINESS DISTRICT SEGMENT SUBTOTAL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4,736,126</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94.7 %</w:t>
            </w:r>
          </w:p>
        </w:tc>
      </w:tr>
      <w:tr>
        <w:trPr>
          <w:trHeight w:val="20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PENNSYLVANIA SUBURBS SEGMENT</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47"/>
        </w:trPr>
        <w:tc>
          <w:tcPr>
            <w:tcW w:w="7160" w:type="dxa"/>
            <w:vAlign w:val="bottom"/>
            <w:gridSpan w:val="2"/>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Six Tower Bridge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Lancaster Avenue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55,941</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640</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Freedom Business Center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89.5 %</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620</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Freedom Business Center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1000 First Avenue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74,139</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1060 First Avenue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630</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Freedom Business Center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86,683</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93.6 %</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1020 First Avenue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74,556</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1040 First Avenue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75,488</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610</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Freedom Business Center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62,991</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Park Avenue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933</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Avenue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Gulph Road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100,820</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401</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Plymouth Road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204,186</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Metroplex I</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120,877</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95.7 %</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Chester Road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340,380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Radnor Corporate Center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 of Prussia Road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251,434</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95.2 %</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555</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Lancaster Avenue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241,687</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Radnor Corporate Center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164,464</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Five Radnor Corporate Center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164,505</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Radnor Corporate Center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119,087</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Two Radnor Corporate Center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97,576</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86.3 %</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130</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Chester Road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71,349</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170</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Chester Road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w:t>
            </w: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 of Prussia Road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144,685</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Elm Street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173,827</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West Elm Street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97,737</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PENNSYLVANIA SUBURBS SEGMENT SUBTOTAL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3,554,944</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87.6 %</w:t>
            </w:r>
          </w:p>
        </w:tc>
      </w:tr>
      <w:tr>
        <w:trPr>
          <w:trHeight w:val="20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AUSTIN SEGMENT</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47"/>
        </w:trPr>
        <w:tc>
          <w:tcPr>
            <w:tcW w:w="7160" w:type="dxa"/>
            <w:vAlign w:val="bottom"/>
            <w:gridSpan w:val="2"/>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401-405 Colorado Street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205,803</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Broadmoor Austin - Bldg 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202,850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Broadmoor Austin - Bldg 3</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198,306</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Broadmoor Austin - Bldg 4</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142,386</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Broadmoor Austin - Bldg 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144,249</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Points Center 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4"/>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 Points Centre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192,396</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r>
    </w:tbl>
    <w:p>
      <w:pPr>
        <w:spacing w:after="0" w:line="200" w:lineRule="exact"/>
        <w:rPr>
          <w:sz w:val="20"/>
          <w:szCs w:val="20"/>
          <w:color w:val="auto"/>
        </w:rPr>
      </w:pP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River Place - Bldg 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76,529</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 Place - Bldg 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114,491</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River Place - Bldg 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113,465</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 Place - Bldg 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87,639</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River Place - Bldg 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67,601</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 Place - Bldg 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62,038</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River Place - Bldg 7</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23"/>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AUSTIN SEGMENT SUBTOTAL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1,841,690</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73.9 %</w:t>
            </w:r>
          </w:p>
        </w:tc>
      </w:tr>
      <w:tr>
        <w:trPr>
          <w:trHeight w:val="20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47"/>
        </w:trPr>
        <w:tc>
          <w:tcPr>
            <w:tcW w:w="400" w:type="dxa"/>
            <w:vAlign w:val="bottom"/>
            <w:shd w:val="clear" w:color="auto" w:fill="CCEEFF"/>
          </w:tcPr>
          <w:p>
            <w:pPr>
              <w:spacing w:after="0"/>
              <w:rPr>
                <w:sz w:val="21"/>
                <w:szCs w:val="21"/>
                <w:color w:val="auto"/>
              </w:rPr>
            </w:pPr>
          </w:p>
        </w:tc>
        <w:tc>
          <w:tcPr>
            <w:tcW w:w="67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6600</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Rockledge Drive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160,173</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1676</w:t>
            </w:r>
          </w:p>
        </w:tc>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Drive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299,387</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8260</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Greensboro Drive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158,961</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2340</w:t>
            </w:r>
          </w:p>
        </w:tc>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Dulles Corner Boulevard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268,365</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Promenade at Main Street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56.1 %</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Piazza Offices at Main Street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920 North King Street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203,328</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SUBTOTAL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1,166,367</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CORE PORTFOLIO</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11,299,127</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0"/>
        </w:trPr>
        <w:tc>
          <w:tcPr>
            <w:tcW w:w="4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14"/>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properties are mixed use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lease expirations for the Core Properties as of December 31, 2025, during each of the next 10 years and thereafter. This table assumes no exercise of renewal options or termination rights: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Final Annualized Base</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Percentage of Total Final</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Rentable Square Feet</w:t>
            </w:r>
          </w:p>
        </w:tc>
        <w:tc>
          <w:tcPr>
            <w:tcW w:w="100" w:type="dxa"/>
            <w:vAlign w:val="bottom"/>
          </w:tcPr>
          <w:p>
            <w:pPr>
              <w:spacing w:after="0"/>
              <w:rPr>
                <w:sz w:val="14"/>
                <w:szCs w:val="14"/>
                <w:color w:val="auto"/>
              </w:rPr>
            </w:pPr>
          </w:p>
        </w:tc>
        <w:tc>
          <w:tcPr>
            <w:tcW w:w="15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Rent Under Expiring</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Year of Lease Expiration December 31,</w:t>
            </w: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Leases (a) (in</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Annualized Base Rent</w:t>
            </w:r>
          </w:p>
        </w:tc>
        <w:tc>
          <w:tcPr>
            <w:tcW w:w="0" w:type="dxa"/>
            <w:vAlign w:val="bottom"/>
          </w:tcPr>
          <w:p>
            <w:pPr>
              <w:spacing w:after="0"/>
              <w:rPr>
                <w:sz w:val="1"/>
                <w:szCs w:val="1"/>
                <w:color w:val="auto"/>
              </w:rPr>
            </w:pPr>
          </w:p>
        </w:tc>
      </w:tr>
      <w:tr>
        <w:trPr>
          <w:trHeight w:val="213"/>
        </w:trPr>
        <w:tc>
          <w:tcPr>
            <w:tcW w:w="6280" w:type="dxa"/>
            <w:vAlign w:val="bottom"/>
            <w:gridSpan w:val="2"/>
            <w:vMerge w:val="continue"/>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thousands)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Expiring Leases</w:t>
            </w:r>
          </w:p>
        </w:tc>
        <w:tc>
          <w:tcPr>
            <w:tcW w:w="0" w:type="dxa"/>
            <w:vAlign w:val="bottom"/>
          </w:tcPr>
          <w:p>
            <w:pPr>
              <w:spacing w:after="0"/>
              <w:rPr>
                <w:sz w:val="1"/>
                <w:szCs w:val="1"/>
                <w:color w:val="auto"/>
              </w:rPr>
            </w:pPr>
          </w:p>
        </w:tc>
      </w:tr>
      <w:tr>
        <w:trPr>
          <w:trHeight w:val="212"/>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48,067</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80,071</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29,831</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68,314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13,006</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2036 and thereafter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45,580</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460,791</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302"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annualized cash rental rate of base rents, including tenant reimbursements, in the final month prior to expiration. Tenant reimbursements generally include payment of a portion of real estate taxes, operating expenses, and common area maintenance and utility charges.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1" w:name="page32"/>
    <w:bookmarkEnd w:id="31"/>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geographic locations for the Core Properties as of December 31, 2025. For more information about our geographic locations, see Note 18 “Segment Information” to our Consolidated Financial Statements: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Number of</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Net Rentable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Percentage Leased as</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Leased Square Feet</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Total Base Rent</w:t>
            </w: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Percentage of</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Location</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Square Feet (in</w:t>
            </w:r>
          </w:p>
        </w:tc>
        <w:tc>
          <w:tcPr>
            <w:tcW w:w="16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(a) (in</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Properties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thousands)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of December 31, 2025</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thousands)</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Base Rent</w:t>
            </w:r>
          </w:p>
        </w:tc>
        <w:tc>
          <w:tcPr>
            <w:tcW w:w="0" w:type="dxa"/>
            <w:vAlign w:val="bottom"/>
          </w:tcPr>
          <w:p>
            <w:pPr>
              <w:spacing w:after="0"/>
              <w:rPr>
                <w:sz w:val="1"/>
                <w:szCs w:val="1"/>
                <w:color w:val="auto"/>
              </w:rPr>
            </w:pPr>
          </w:p>
        </w:tc>
      </w:tr>
      <w:tr>
        <w:trPr>
          <w:trHeight w:val="212"/>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89.0 %</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113,522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92.6 %</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35,977</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90.2 %</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334,116</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base rents earned during the year, including tenant reimbursements, and excludes parking income, tenant inducements, and deferred market rent adjustments.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major tenants of the Core Properties as of December 31, 2025 and assumes that none of the tenants exercise renewal options or termination rights, if any, at or prior to scheduled expirations: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Tenant Name</w:t>
            </w:r>
          </w:p>
        </w:tc>
        <w:tc>
          <w:tcPr>
            <w:tcW w:w="1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Annualized Base Rents (a)</w:t>
            </w:r>
          </w:p>
        </w:tc>
        <w:tc>
          <w:tcPr>
            <w:tcW w:w="2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Percentage of Aggregate</w:t>
            </w:r>
          </w:p>
        </w:tc>
        <w:tc>
          <w:tcPr>
            <w:tcW w:w="0" w:type="dxa"/>
            <w:vAlign w:val="bottom"/>
          </w:tcPr>
          <w:p>
            <w:pPr>
              <w:spacing w:after="0"/>
              <w:rPr>
                <w:sz w:val="1"/>
                <w:szCs w:val="1"/>
                <w:color w:val="auto"/>
              </w:rPr>
            </w:pPr>
          </w:p>
        </w:tc>
      </w:tr>
      <w:tr>
        <w:trPr>
          <w:trHeight w:val="213"/>
        </w:trPr>
        <w:tc>
          <w:tcPr>
            <w:tcW w:w="69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(in thousands)</w:t>
            </w:r>
          </w:p>
        </w:tc>
        <w:tc>
          <w:tcPr>
            <w:tcW w:w="23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Annualized Base Rents</w:t>
            </w:r>
          </w:p>
        </w:tc>
        <w:tc>
          <w:tcPr>
            <w:tcW w:w="0" w:type="dxa"/>
            <w:vAlign w:val="bottom"/>
          </w:tcPr>
          <w:p>
            <w:pPr>
              <w:spacing w:after="0"/>
              <w:rPr>
                <w:sz w:val="1"/>
                <w:szCs w:val="1"/>
                <w:color w:val="auto"/>
              </w:rPr>
            </w:pPr>
          </w:p>
        </w:tc>
      </w:tr>
      <w:tr>
        <w:trPr>
          <w:trHeight w:val="212"/>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IBM, Inc.</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20,825</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Spark Therapeutics, Inc.</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18,864</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Comcast Corporation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12,687</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FMC Corporation</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Troutman Pepper Locke LLP</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10,722</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Lincoln National Management Co.</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Independence Blue Cross, LLC</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Trustees of the University of Pennsylvania</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CSL Behring, LLC</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T-Mobile Northeast LLC</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282,097</w:t>
            </w:r>
          </w:p>
        </w:tc>
        <w:tc>
          <w:tcPr>
            <w:tcW w:w="120" w:type="dxa"/>
            <w:vAlign w:val="bottom"/>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70.4 %</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400,540</w:t>
            </w: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hanging="332"/>
        <w:spacing w:after="0" w:line="282" w:lineRule="auto"/>
        <w:tabs>
          <w:tab w:leader="none" w:pos="3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annualized base rent, including tenant reimbursements, for each lease in effect at December 31, 2025. Tenant reimbursements generally include payment of a portion of real estate taxes, operating expenses, and common area maintenance and utility charges.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legal proceedings, including tenant disputes, vendor disputes, employee disputes and disputes arising out of agreements to purchase or sell properties or unconsolidated real estate ventures and disputes relating to state and local taxes. We generally consider these disputes to be routine to the conduct of our business and management believes that the final outcome of such proceedings will not have a material adverse effect on our financial position, results of operations or liquidity.</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u w:val="single" w:color="auto"/>
          <w:color w:val="auto"/>
        </w:rPr>
        <w:t>PART II</w:t>
      </w:r>
    </w:p>
    <w:p>
      <w:pPr>
        <w:spacing w:after="0" w:line="221" w:lineRule="exact"/>
        <w:rPr>
          <w:sz w:val="20"/>
          <w:szCs w:val="20"/>
          <w:color w:val="auto"/>
        </w:rPr>
      </w:pPr>
    </w:p>
    <w:p>
      <w:pPr>
        <w:spacing w:after="0"/>
        <w:tabs>
          <w:tab w:leader="none" w:pos="700" w:val="left"/>
          <w:tab w:leader="none" w:pos="824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w:t>
        <w:tab/>
        <w:t>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shares of Brandywine Realty Trust are traded on the New York Stock Exchange (“NYSE”) under the symbol “BDN.” There is no established trading market for units of partnership interests in the Operating Partnership. On February 18, 2026, there were 511 holders of record of our common shares and 20 holders of record (in addition to Brandywine Realty Trust) of Class A units of limited partnership interest in the Operating Partnership. On February 18, 2026, the last reported sales price of the common shares on the NYSE was $3.15.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quarter in 2025 and 2024, the Operating Partnership paid a cash distribution per Class A unit in an amount equal to the dividend paid on a common share for each such quarter.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maintain the status of Brandywine Realty Trust as a REIT, we must make annual distributions to shareholders of at least 90% of our taxable income (not including net capital gains). Future distributions will be declared at the discretion of our Board of Trustees and will depend on our actual cash flow, financial condition and capital requirements, the annual distribution requirements under the REIT provisions of the Internal Revenue Code and such other factors as our Board of Trustees deem relevant. Our credit facilities contain certain restrictions on the payment of dividends. Those restrictions permit us to pay dividends to the greater of (i) an aggregate amount required by us to retain our qualification as a REIT for Federal income tax purposes and (ii) 95% of our funds from operations (FFO). See Note 8 “Debt Obligations,” to our Consolidated Financial Statements for further details.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Trustees has adopted a dividend policy designed such that our quarterly distributions are consistent with our normalized annualized taxable income. We expect to make future quarterly distributions to shareholders; however, the timing and amount of future distributions will be at the discretion of our Board and will depend on our actual funds from operations, financial condition and capital requirements and the annual distribution requirements under the REIT provisions of the Internal Revenue Code.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14 “Share-Based Compensation, 401(k) Plan and Deferred Compensation,” to our Consolidated Financial Statements for information related to compensation plans under which our common shares are authorized for issuance. See Note 12 “Beneficiaries' Equity of the Parent Company,” to our Consolidated Financial Statements for further information related to our share repurchase program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requires us to present a chart comparing the cumulative total shareholder return on the common shares with the cumulative total shareholder return of (i) a broad equity index and (ii) a published industry or peer group index. The following chart compares the cumulative total shareholder return for the common shares with the cumulative shareholder return of companies on (i) the S&amp;P 500 Index, (ii) the FTSE NAREIT All Equity REITs Index, (iii) the Russell 2000 Index and (iv) the FTSE NAREIT Equity Office Index for the period beginning December 31, 2020 and ending December 31, 2025 and assumes an investment of $100, with reinvestment of all dividends, has been made in the common shares and in each index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760720" cy="3763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Period Ending</w:t>
            </w: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Index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12/31/2025</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FTSE NAREIT All Equity REITs Index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FTSE NAREIT Equity Office Index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Brandywine Realty Trust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bl>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appearing elsewhere herein and is based primarily on our Consolidated Financial Statements for the years ended December 31, 2025, 2024 and 2023. This report including the following discussion, contains forward-looking statements, which we intend to be covered by the safe-harbor provisions of Section 27A of the Securities Act of 1933, as amended and Section 21E of the Securities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Exchange Act of 1934, as amended. The words “anticipate,” “believe,” “estimate,” “expect,” “intend,” “will,” “should” and similar expressions, as they relate to us, are intended to identify forward-looking statements. Although we believe that the expectations reflected in such forward-looking statements are based on reasonable assumptions, we can give no assurance that our expectations will be achieved. These forward-looking statements are inherently uncertain, and actual results may differ from expectations. “See “Forward-Looking Statements” immediately before Part I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twelve months ended December 31, 2025, we owned and managed properties within four segments: (1) Philadelphia Central Business District (“Philadelphia CBD”), (2) Pennsylvania Suburbs, (3) Austin, Texas, and (4) Other. The Philadelphia CBD segment includes properties located in the City of Philadelphia in Pennsylvania. The Pennsylvania Suburbs segment includes properties in Chester, Delaware and Montgomery counties in the Philadelphia suburbs. The Austin, Texas segment includes properties in the City of Austin, Texas. The Other segment includes properties in Northern Virginia, Washington, D.C., Southern Maryland, Camden County, New Jersey and New Castle County, Delaware. In addition to the four segments, our corporate group is responsible for cash and investment management, development/redevelopment of certain real estate properties during the construction period, and certain other general support functions.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performance are dependent upon the demand for office, residential, life science, parking and retail space in our markets, our leasing results, our acquisition, disposition and development/redevelopment activity, our financing activity, our cash requirements and economic and market conditions, including prevailing interest rates.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generate cash and revenue from leases of space at our Properties and, to a lesser extent, from the management and development/redevelopment of properties owned by third parties (primarily unconsolidated real estate ventures) and from investments in the unconsolidated real estate ventures. Factors that we evaluate when leasing space include rental rates, costs of tenant improvements, tenant creditworthiness, current and expected operating costs, the length of the lease term, vacancy levels and demand for space. We also generate cash through sales of assets, including assets that we do not view as core to our business plan, either because of location or expected growth potential, and assets that are commanding premium prices from third-party investors.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macroeconomic conditions, including but not limited to inflation and high interest rates and changes in work patterns, including remote working arrangements, that have contributed to negative lease absorption within our office markets, have had a dampening effect on the fundamentals of our business, as reflected in, among other metrics, our increased borrowing costs and lower occupancy as well as downward pressures on asset valuations. These adverse conditions could continue to impact our net income, cash flows and liquidity and could have a material adverse effect on our financial condition and results of operations.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challenging macroeconomic conditions, which have contributed to recent difficulties in asset dispositions at acceptable prices, leasing of vacant space at attractive rents and sourcing of capital for development projects at acceptable costs, as well as to impairments of assets, we believe that our portfolio of Properties and investments, and liquidity profile, will allow us to maintain stable operating performance. In our ongoing assessment of our Properties, we consider both their quantitative and qualitative attributes, including in relation to other properties within a given submarket or adjacent submarkets that compete with our portfolio for tenants. The attributes that we consider in our assessment include the age and condition of the property, average asking rental rates, access to mass transit and highways, floorplate efficiencies, amenities within, and nearby, the property and availability of parking as well as market demographics such that bear on demand for space at our properties. We also believe that our portfolio and liquidity profile will enable us to raise capital, as necessary, in various forms and from different sources, including through secured or unsecured loans from banks, pension funds and life insurance companies. However, there can be no assurance that we will be able to borrow funds on terms that are economically attractive or at all.</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seek revenue growth throughout our portfolio by increasing occupancy and rental rates. Occupancy at our Core Properties at December 31, 2025 was 88.3% compared to 87.8% at December 31,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table below summarizes selected operating and leasing statistics of our wholly owned properties for the years ended December 31, 2025 and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280" w:type="dxa"/>
            <w:vAlign w:val="bottom"/>
          </w:tcPr>
          <w:p>
            <w:pPr>
              <w:spacing w:after="0"/>
              <w:rPr>
                <w:sz w:val="20"/>
                <w:szCs w:val="20"/>
                <w:color w:val="auto"/>
              </w:rPr>
            </w:pP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Leasing Activity</w:t>
            </w: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5"/>
        </w:trPr>
        <w:tc>
          <w:tcPr>
            <w:tcW w:w="5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Core Properties (1)(2):</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rentable square feet owned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11,289,339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11,930,549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11,289,339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11,930,549</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Occupancy percentage (end of period)</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occupancy percentage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Portfolio, less properties in development/redevelopment:</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Tenant retention rate (3)</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leases and expansions commenced (square feet)</w:t>
            </w:r>
          </w:p>
        </w:tc>
        <w:tc>
          <w:tcPr>
            <w:tcW w:w="1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87,094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97,657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469,257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425,604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Leases renewed (square feet)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77,604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100,776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776,186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597,808</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absorption (square feet)</w:t>
            </w:r>
          </w:p>
        </w:tc>
        <w:tc>
          <w:tcPr>
            <w:tcW w:w="18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(57,356)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(169,864)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(128,494)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rental rates per square foot (4):</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and expansion rental rates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Renewal rental rates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Combined rental rates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lease term for leases commenced (years)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annual rent (per square foot) (7) (8)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Costs Committed (5)(6)(7):</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commissions (per square foot)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improvements (per square foot)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 per square foot per lease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annualized capital as % of average annual rent (7) (8)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properties under development, redevelopment, held for sale, or sold.</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statistics presented for periods ended prior to the three-month period ended December 31, 2025 have not been adjusted for properties sold subsequent to the periods presented.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a percentage of total net rentable square feet.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base rent plus reimbursement for operating expenses and real estate taxes.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on a weighted average basis.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increases for the three months ended December 31, 2025 are primarily due to a higher percentage of new leases compared to renewals for the three months ended December 31, 2025 compared to the three months ended December 31, 2024. The decreases for the year ended December 31, 2025 are primarily due to a lower percentage of new leases compared to renewals and more renewals with no tenant improvements for the year ended December 31, 2025 compared to the year ended December 31, 2024.</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comparison purposes, we exclude new leases of space when the previous lease of such space ended more than 12 months prior to the signing date for the new leases.</w:t>
      </w:r>
    </w:p>
    <w:p>
      <w:pPr>
        <w:spacing w:after="0" w:line="14"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annual rent represents total initial contractual rent under the applicable leases (as impacted by free rent) plus contractual fixed rent increases due under the applicable leases averaged over the total terms (without regard to extension options) of the applicable leases.</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actual leasing capital costs as a percentage of rents are largely a function of the composition of our leases to new tenants or renewals with existing tenants, in addition to size and timing of occupancy. We generally experience lower leasing costs in connection with the renewal of leases with existing tenants compared to leases with new tenants. Our properties compete for tenants with similar properties primarily on the basis of location, total occupancy costs (including base rent and operating expenses), services and amenities, and the design and condition of the properties. As leases at our properties expire, we face competition to renew or re-let space in light of the competing properties within the applicable markets. As a result, and as part of customary lease negotiations, we are often required to provide rent concessions or abatements, incur charges for tenant improvements and other inducements, including early termination rights or potential below market renewal options, all of which impact, in varying degrees, annualized rents.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table below summarizes occupancy statistics of our Core Properties by segment for the twelve months ended December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shd w:val="clear" w:color="auto" w:fill="CCEEFF"/>
          </w:tcPr>
          <w:p>
            <w:pPr>
              <w:spacing w:after="0"/>
              <w:rPr>
                <w:sz w:val="19"/>
                <w:szCs w:val="19"/>
                <w:color w:val="auto"/>
              </w:rPr>
            </w:pPr>
          </w:p>
        </w:tc>
        <w:tc>
          <w:tcPr>
            <w:tcW w:w="3220" w:type="dxa"/>
            <w:vAlign w:val="bottom"/>
            <w:tcBorders>
              <w:bottom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Twelve months ended December 31,</w:t>
            </w:r>
          </w:p>
        </w:tc>
      </w:tr>
      <w:tr>
        <w:trPr>
          <w:trHeight w:val="223"/>
        </w:trPr>
        <w:tc>
          <w:tcPr>
            <w:tcW w:w="8020" w:type="dxa"/>
            <w:vAlign w:val="bottom"/>
          </w:tcPr>
          <w:p>
            <w:pPr>
              <w:spacing w:after="0"/>
              <w:rPr>
                <w:sz w:val="19"/>
                <w:szCs w:val="19"/>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Occupied</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Occupied</w:t>
            </w:r>
          </w:p>
        </w:tc>
      </w:tr>
      <w:tr>
        <w:trPr>
          <w:trHeight w:val="223"/>
        </w:trPr>
        <w:tc>
          <w:tcPr>
            <w:tcW w:w="80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 CBD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 Suburbs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88.2 %</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Austin, Texas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77.8 %</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Core Properties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8"/>
        </w:trPr>
        <w:tc>
          <w:tcPr>
            <w:tcW w:w="80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87.8 %</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occupancy statistics of our Properties, broken down by property types for the twelve months ended December 31,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6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Twelve months ended December 31,</w:t>
            </w:r>
          </w:p>
        </w:tc>
        <w:tc>
          <w:tcPr>
            <w:tcW w:w="364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Twelve months ended December 31,</w:t>
            </w:r>
          </w:p>
        </w:tc>
      </w:tr>
      <w:tr>
        <w:trPr>
          <w:trHeight w:val="169"/>
        </w:trPr>
        <w:tc>
          <w:tcPr>
            <w:tcW w:w="3860" w:type="dxa"/>
            <w:vAlign w:val="bottom"/>
          </w:tcPr>
          <w:p>
            <w:pPr>
              <w:spacing w:after="0"/>
              <w:rPr>
                <w:sz w:val="14"/>
                <w:szCs w:val="14"/>
                <w:color w:val="auto"/>
              </w:rPr>
            </w:pPr>
          </w:p>
        </w:tc>
        <w:tc>
          <w:tcPr>
            <w:tcW w:w="186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8"/>
              </w:rPr>
              <w:t>% Net Operating</w:t>
            </w:r>
          </w:p>
        </w:tc>
        <w:tc>
          <w:tcPr>
            <w:tcW w:w="1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 Net Operating</w:t>
            </w:r>
          </w:p>
        </w:tc>
        <w:tc>
          <w:tcPr>
            <w:tcW w:w="12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r>
      <w:tr>
        <w:trPr>
          <w:trHeight w:val="243"/>
        </w:trPr>
        <w:tc>
          <w:tcPr>
            <w:tcW w:w="386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Income (4)</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Income (4)</w:t>
            </w: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Occupied</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Occupied</w:t>
            </w:r>
          </w:p>
        </w:tc>
      </w:tr>
      <w:tr>
        <w:trPr>
          <w:trHeight w:val="223"/>
        </w:trPr>
        <w:tc>
          <w:tcPr>
            <w:tcW w:w="38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89.5 %</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 (1)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88.9 %</w:t>
            </w:r>
          </w:p>
        </w:tc>
      </w:tr>
    </w:tbl>
    <w:p>
      <w:pPr>
        <w:spacing w:after="0" w:line="247" w:lineRule="exact"/>
        <w:rPr>
          <w:sz w:val="20"/>
          <w:szCs w:val="20"/>
          <w:color w:val="auto"/>
        </w:rPr>
      </w:pPr>
    </w:p>
    <w:p>
      <w:pPr>
        <w:ind w:left="660" w:hanging="652"/>
        <w:spacing w:after="0" w:line="263"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Philadelphia portfolio assets located at 3000 Market Street and 3025 Market Street in Philadelphia, Pennsylvania, dedicated life science floors at Cira Centre in Philadelphia, Pennsylvania and 250 King of Prussia Road in Radnor, Pennsylvania.</w:t>
      </w: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residential operation at 2929 Walnut Street and 3025 JFK in Philadelphia, Pennsylvania.</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Properties under development/redevelopment.</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18 “Segment Information,” to our Consolidated Financial Statements for the definition of Net Operating Income.</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seeking to increase revenue through our operating, financing, and investment activities, we also seek to minimize operating risks, including (i) tenant rollover risk, (ii) tenant credit risk and (iii) development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Tenant Rollover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risk that tenant leases, upon expiration, will not be renewed, that space may not be relet, or that the terms of renewal or reletting (including the cost of renovations) may be less favorable to us than the current lease terms. Leases that accounted for approximately 5.5% of our aggregate final annualized base rents as of December 31, 2025 (representing approximately 5.2% of the net rentable square feet of the properties) are scheduled to expire without penalty in 2026. We maintain an active dialogue with our tenants in an effort to maximize lease renewals. If we are unable to renew leases or relet space under expiring leases, at anticipated rental rates, or if our tenants terminate their leases early, our cash flow would be adversely impacted.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Tenant 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tenant default, we may experience delays in enforcing our rights as a landlord and may incur substantial costs in protecting our investment. Our management evaluates our accrued rent receivable reserve policy in light of our tenant base and general and local economic conditions. Our accrued rent receivable allowance was $0.4 million, or 0.2%, of our accrued rent receivable balance as of December 31, 2025 compared to $0.9 million, or 0.5%, of our accrued rent receivable balance as of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economic conditions deteriorate, including as a result of inflation and high interest rates we may experience increases in past due accounts, defaults, lower occupancy and reduced effective rents. These conditions would negatively affect our future net income and cash flows and could have a material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Development and Redevelopment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and Redevelopment projects are subject to a variety of risks, including construction delays, construction cost overruns, building moratoriums, inability to obtain financing on favorable terms, inability to lease space at projected rates, inability to enter into construction, development, redevelopment and other agreements on favorable terms, and unexpected environmental and other hazards.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As</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the</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following</w:t>
            </w: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projects</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5"/>
              </w:rPr>
              <w:t>in</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active</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w:t>
            </w: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8"/>
                <w:szCs w:val="18"/>
                <w:color w:val="auto"/>
              </w:rPr>
              <w:t>(dollars,</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thousands):</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Approximate Room</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color w:val="auto"/>
              </w:rPr>
              <w:t>Amount</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Property/Portfolio Name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Location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Completion Date</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w w:val="99"/>
              </w:rPr>
              <w:t>Activity Type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Count or Square</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Estimated Costs</w:t>
            </w:r>
          </w:p>
        </w:tc>
        <w:tc>
          <w:tcPr>
            <w:tcW w:w="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Debt Financing</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Footage</w:t>
            </w:r>
          </w:p>
        </w:tc>
        <w:tc>
          <w:tcPr>
            <w:tcW w:w="1180" w:type="dxa"/>
            <w:vAlign w:val="bottom"/>
            <w:gridSpan w:val="2"/>
            <w:vMerge w:val="continue"/>
          </w:tcPr>
          <w:p>
            <w:pPr>
              <w:spacing w:after="0"/>
              <w:rPr>
                <w:sz w:val="17"/>
                <w:szCs w:val="17"/>
                <w:color w:val="auto"/>
              </w:rPr>
            </w:pP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4"/>
                <w:szCs w:val="14"/>
                <w:color w:val="auto"/>
              </w:rPr>
              <w:t>Funded</w:t>
            </w:r>
          </w:p>
        </w:tc>
        <w:tc>
          <w:tcPr>
            <w:tcW w:w="3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165 King of Prussia Road</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Radnor, PA</w:t>
            </w: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ind w:right="44"/>
              <w:spacing w:after="0"/>
              <w:rPr>
                <w:sz w:val="20"/>
                <w:szCs w:val="20"/>
                <w:color w:val="auto"/>
              </w:rPr>
            </w:pPr>
            <w:r>
              <w:rPr>
                <w:rFonts w:ascii="Times New Roman" w:cs="Times New Roman" w:eastAsia="Times New Roman" w:hAnsi="Times New Roman"/>
                <w:sz w:val="14"/>
                <w:szCs w:val="14"/>
                <w:color w:val="auto"/>
              </w:rPr>
              <w:t>Q2 2026</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Development</w:t>
            </w: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ind w:right="244"/>
              <w:spacing w:after="0"/>
              <w:rPr>
                <w:sz w:val="20"/>
                <w:szCs w:val="20"/>
                <w:color w:val="auto"/>
              </w:rPr>
            </w:pPr>
            <w:r>
              <w:rPr>
                <w:rFonts w:ascii="Times New Roman" w:cs="Times New Roman" w:eastAsia="Times New Roman" w:hAnsi="Times New Roman"/>
                <w:sz w:val="14"/>
                <w:szCs w:val="14"/>
                <w:color w:val="auto"/>
              </w:rPr>
              <w:t>121 Rooms</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4"/>
                <w:szCs w:val="14"/>
                <w:color w:val="auto"/>
              </w:rPr>
              <w:t>$59,500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4"/>
                <w:szCs w:val="14"/>
                <w:color w:val="auto"/>
              </w:rPr>
              <w:t>$27,595</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3151 Market Street</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Philadelphia, PA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Q4 2024</w:t>
            </w: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center"/>
              <w:ind w:right="244"/>
              <w:spacing w:after="0"/>
              <w:rPr>
                <w:sz w:val="20"/>
                <w:szCs w:val="20"/>
                <w:color w:val="auto"/>
              </w:rPr>
            </w:pPr>
            <w:r>
              <w:rPr>
                <w:rFonts w:ascii="Times New Roman" w:cs="Times New Roman" w:eastAsia="Times New Roman" w:hAnsi="Times New Roman"/>
                <w:sz w:val="14"/>
                <w:szCs w:val="14"/>
                <w:color w:val="auto"/>
              </w:rPr>
              <w:t>441,000</w:t>
            </w:r>
          </w:p>
        </w:tc>
        <w:tc>
          <w:tcPr>
            <w:tcW w:w="120" w:type="dxa"/>
            <w:vAlign w:val="bottom"/>
          </w:tcPr>
          <w:p>
            <w:pPr>
              <w:spacing w:after="0"/>
              <w:rPr>
                <w:sz w:val="16"/>
                <w:szCs w:val="16"/>
                <w:color w:val="auto"/>
              </w:rPr>
            </w:pPr>
          </w:p>
        </w:tc>
        <w:tc>
          <w:tcPr>
            <w:tcW w:w="1080" w:type="dxa"/>
            <w:vAlign w:val="bottom"/>
          </w:tcPr>
          <w:p>
            <w:pPr>
              <w:jc w:val="right"/>
              <w:ind w:right="204"/>
              <w:spacing w:after="0"/>
              <w:rPr>
                <w:sz w:val="20"/>
                <w:szCs w:val="20"/>
                <w:color w:val="auto"/>
              </w:rPr>
            </w:pPr>
            <w:r>
              <w:rPr>
                <w:rFonts w:ascii="Times New Roman" w:cs="Times New Roman" w:eastAsia="Times New Roman" w:hAnsi="Times New Roman"/>
                <w:sz w:val="14"/>
                <w:szCs w:val="14"/>
                <w:color w:val="auto"/>
              </w:rPr>
              <w:t>$316,909</w:t>
            </w:r>
          </w:p>
        </w:tc>
        <w:tc>
          <w:tcPr>
            <w:tcW w:w="100" w:type="dxa"/>
            <w:vAlign w:val="bottom"/>
          </w:tcPr>
          <w:p>
            <w:pPr>
              <w:spacing w:after="0"/>
              <w:rPr>
                <w:sz w:val="16"/>
                <w:szCs w:val="16"/>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4"/>
                <w:szCs w:val="14"/>
                <w:color w:val="auto"/>
              </w:rPr>
              <w:t>$219,734</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9"/>
              </w:rPr>
              <w:t>(a)</w:t>
            </w: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4"/>
                <w:szCs w:val="14"/>
                <w:color w:val="auto"/>
              </w:rPr>
              <w:t>$80,500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right="20" w:hanging="652"/>
        <w:spacing w:after="0" w:line="282" w:lineRule="auto"/>
        <w:tabs>
          <w:tab w:leader="none" w:pos="6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2025, we closed on a $80.5 million Commercial Property Assessed Clean Energy (“C-PACE”) financing for the development project at 3151 Market Street, which includes $30.0 million in future funding for new leasing.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property listed above, we have classified one office building in Wilmington, Delaware as redevelopment, but we have yet to incur material development costs on the project.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following active unconsolidated real estate venture development project remains under construction in progress and we were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proceeding</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the</w:t>
            </w:r>
          </w:p>
        </w:tc>
        <w:tc>
          <w:tcPr>
            <w:tcW w:w="244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following</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activity</w:t>
            </w:r>
          </w:p>
        </w:tc>
        <w:tc>
          <w:tcPr>
            <w:tcW w:w="206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(dollars,</w:t>
            </w:r>
          </w:p>
        </w:tc>
        <w:tc>
          <w:tcPr>
            <w:tcW w:w="160" w:type="dxa"/>
            <w:vAlign w:val="bottom"/>
          </w:tcPr>
          <w:p>
            <w:pPr>
              <w:spacing w:after="0"/>
              <w:rPr>
                <w:sz w:val="20"/>
                <w:szCs w:val="20"/>
                <w:color w:val="auto"/>
              </w:rPr>
            </w:pPr>
          </w:p>
        </w:tc>
        <w:tc>
          <w:tcPr>
            <w:tcW w:w="1040" w:type="dxa"/>
            <w:vAlign w:val="bottom"/>
            <w:gridSpan w:val="3"/>
          </w:tcPr>
          <w:p>
            <w:pPr>
              <w:jc w:val="right"/>
              <w:ind w:right="728"/>
              <w:spacing w:after="0"/>
              <w:rPr>
                <w:sz w:val="20"/>
                <w:szCs w:val="20"/>
                <w:color w:val="auto"/>
              </w:rPr>
            </w:pPr>
            <w:r>
              <w:rPr>
                <w:rFonts w:ascii="Times New Roman" w:cs="Times New Roman" w:eastAsia="Times New Roman" w:hAnsi="Times New Roman"/>
                <w:sz w:val="18"/>
                <w:szCs w:val="18"/>
                <w:color w:val="auto"/>
              </w:rPr>
              <w:t>in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thousands):</w:t>
            </w:r>
          </w:p>
        </w:tc>
        <w:tc>
          <w:tcPr>
            <w:tcW w:w="0" w:type="dxa"/>
            <w:vAlign w:val="bottom"/>
          </w:tcPr>
          <w:p>
            <w:pPr>
              <w:spacing w:after="0"/>
              <w:rPr>
                <w:sz w:val="1"/>
                <w:szCs w:val="1"/>
                <w:color w:val="auto"/>
              </w:rPr>
            </w:pPr>
          </w:p>
        </w:tc>
      </w:tr>
      <w:tr>
        <w:trPr>
          <w:trHeight w:val="148"/>
        </w:trPr>
        <w:tc>
          <w:tcPr>
            <w:tcW w:w="2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Property/Portfolio Name (% of</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Approximate</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Estimated</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tcPr>
          <w:p>
            <w:pPr>
              <w:spacing w:after="0"/>
              <w:rPr>
                <w:sz w:val="12"/>
                <w:szCs w:val="12"/>
                <w:color w:val="auto"/>
              </w:rPr>
            </w:pPr>
          </w:p>
        </w:tc>
        <w:tc>
          <w:tcPr>
            <w:tcW w:w="1040" w:type="dxa"/>
            <w:vAlign w:val="bottom"/>
            <w:gridSpan w:val="3"/>
          </w:tcPr>
          <w:p>
            <w:pPr>
              <w:jc w:val="center"/>
              <w:ind w:right="268"/>
              <w:spacing w:after="0" w:line="149" w:lineRule="exact"/>
              <w:rPr>
                <w:sz w:val="20"/>
                <w:szCs w:val="20"/>
                <w:color w:val="auto"/>
              </w:rPr>
            </w:pPr>
            <w:r>
              <w:rPr>
                <w:rFonts w:ascii="Times New Roman" w:cs="Times New Roman" w:eastAsia="Times New Roman" w:hAnsi="Times New Roman"/>
                <w:sz w:val="14"/>
                <w:szCs w:val="14"/>
                <w:color w:val="auto"/>
              </w:rPr>
              <w:t>Our Share</w:t>
            </w:r>
          </w:p>
        </w:tc>
        <w:tc>
          <w:tcPr>
            <w:tcW w:w="10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color w:val="auto"/>
              </w:rPr>
              <w:t>Partner's Share</w:t>
            </w:r>
          </w:p>
        </w:tc>
        <w:tc>
          <w:tcPr>
            <w:tcW w:w="0" w:type="dxa"/>
            <w:vAlign w:val="bottom"/>
          </w:tcPr>
          <w:p>
            <w:pPr>
              <w:spacing w:after="0"/>
              <w:rPr>
                <w:sz w:val="1"/>
                <w:szCs w:val="1"/>
                <w:color w:val="auto"/>
              </w:rPr>
            </w:pPr>
          </w:p>
        </w:tc>
      </w:tr>
      <w:tr>
        <w:trPr>
          <w:trHeight w:val="148"/>
        </w:trPr>
        <w:tc>
          <w:tcPr>
            <w:tcW w:w="2160" w:type="dxa"/>
            <w:vAlign w:val="bottom"/>
            <w:gridSpan w:val="3"/>
            <w:vMerge w:val="continue"/>
          </w:tcPr>
          <w:p>
            <w:pPr>
              <w:spacing w:after="0"/>
              <w:rPr>
                <w:sz w:val="12"/>
                <w:szCs w:val="12"/>
                <w:color w:val="auto"/>
              </w:rPr>
            </w:pPr>
          </w:p>
        </w:tc>
        <w:tc>
          <w:tcPr>
            <w:tcW w:w="13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Location</w:t>
            </w:r>
          </w:p>
        </w:tc>
        <w:tc>
          <w:tcPr>
            <w:tcW w:w="1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Completion Date</w:t>
            </w:r>
          </w:p>
        </w:tc>
        <w:tc>
          <w:tcPr>
            <w:tcW w:w="11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4"/>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Remaining to be</w:t>
            </w: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color w:val="auto"/>
              </w:rPr>
              <w:t>Remaining to be</w:t>
            </w:r>
          </w:p>
        </w:tc>
        <w:tc>
          <w:tcPr>
            <w:tcW w:w="0" w:type="dxa"/>
            <w:vAlign w:val="bottom"/>
          </w:tcPr>
          <w:p>
            <w:pPr>
              <w:spacing w:after="0"/>
              <w:rPr>
                <w:sz w:val="1"/>
                <w:szCs w:val="1"/>
                <w:color w:val="auto"/>
              </w:rPr>
            </w:pPr>
          </w:p>
        </w:tc>
      </w:tr>
      <w:tr>
        <w:trPr>
          <w:trHeight w:val="193"/>
        </w:trPr>
        <w:tc>
          <w:tcPr>
            <w:tcW w:w="1740" w:type="dxa"/>
            <w:vAlign w:val="bottom"/>
          </w:tcPr>
          <w:p>
            <w:pPr>
              <w:jc w:val="center"/>
              <w:ind w:left="284"/>
              <w:spacing w:after="0"/>
              <w:rPr>
                <w:sz w:val="20"/>
                <w:szCs w:val="20"/>
                <w:color w:val="auto"/>
              </w:rPr>
            </w:pPr>
            <w:r>
              <w:rPr>
                <w:rFonts w:ascii="Times New Roman" w:cs="Times New Roman" w:eastAsia="Times New Roman" w:hAnsi="Times New Roman"/>
                <w:sz w:val="14"/>
                <w:szCs w:val="14"/>
                <w:color w:val="auto"/>
              </w:rPr>
              <w:t>BDN Ownership)</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Square Footage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Costs (a)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Funded</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Loan Financing</w:t>
            </w:r>
          </w:p>
        </w:tc>
        <w:tc>
          <w:tcPr>
            <w:tcW w:w="160" w:type="dxa"/>
            <w:vAlign w:val="bottom"/>
          </w:tcPr>
          <w:p>
            <w:pPr>
              <w:spacing w:after="0"/>
              <w:rPr>
                <w:sz w:val="16"/>
                <w:szCs w:val="16"/>
                <w:color w:val="auto"/>
              </w:rPr>
            </w:pPr>
          </w:p>
        </w:tc>
        <w:tc>
          <w:tcPr>
            <w:tcW w:w="1040" w:type="dxa"/>
            <w:vAlign w:val="bottom"/>
            <w:gridSpan w:val="3"/>
          </w:tcPr>
          <w:p>
            <w:pPr>
              <w:jc w:val="center"/>
              <w:ind w:right="288"/>
              <w:spacing w:after="0"/>
              <w:rPr>
                <w:sz w:val="20"/>
                <w:szCs w:val="20"/>
                <w:color w:val="auto"/>
              </w:rPr>
            </w:pPr>
            <w:r>
              <w:rPr>
                <w:rFonts w:ascii="Times New Roman" w:cs="Times New Roman" w:eastAsia="Times New Roman" w:hAnsi="Times New Roman"/>
                <w:sz w:val="14"/>
                <w:szCs w:val="14"/>
                <w:color w:val="auto"/>
              </w:rPr>
              <w:t>Funded</w:t>
            </w:r>
          </w:p>
        </w:tc>
        <w:tc>
          <w:tcPr>
            <w:tcW w:w="1060" w:type="dxa"/>
            <w:vAlign w:val="bottom"/>
          </w:tcPr>
          <w:p>
            <w:pPr>
              <w:jc w:val="center"/>
              <w:ind w:right="24"/>
              <w:spacing w:after="0"/>
              <w:rPr>
                <w:sz w:val="20"/>
                <w:szCs w:val="20"/>
                <w:color w:val="auto"/>
              </w:rPr>
            </w:pPr>
            <w:r>
              <w:rPr>
                <w:rFonts w:ascii="Times New Roman" w:cs="Times New Roman" w:eastAsia="Times New Roman" w:hAnsi="Times New Roman"/>
                <w:sz w:val="14"/>
                <w:szCs w:val="14"/>
                <w:color w:val="auto"/>
              </w:rPr>
              <w:t>Funded</w:t>
            </w:r>
          </w:p>
        </w:tc>
        <w:tc>
          <w:tcPr>
            <w:tcW w:w="0" w:type="dxa"/>
            <w:vAlign w:val="bottom"/>
          </w:tcPr>
          <w:p>
            <w:pPr>
              <w:spacing w:after="0"/>
              <w:rPr>
                <w:sz w:val="1"/>
                <w:szCs w:val="1"/>
                <w:color w:val="auto"/>
              </w:rPr>
            </w:pPr>
          </w:p>
        </w:tc>
      </w:tr>
      <w:tr>
        <w:trPr>
          <w:trHeight w:val="201"/>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Uptown - Office (64%)</w:t>
            </w: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Austin, TX</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Q1 2024</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362,679</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   206,400</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158,485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121,650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Estimated costs include base building costs plus projected tenant fit out costs for remaining vacancies.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revenues and expenses for the reporting periods. Certain accounting policies are considered to be critical accounting policies, as they require management to make assumptions about matters that are highly uncertain at the time the estimate is made and changes in the accounting estimate are reasonably likely to occur from period to period. We believe the following critical accounting policies affect our more significant judgments and estimates used in the preparation of our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each of our real estate investments for indicators of impairment quarterly or when circumstances indicate that a real estate investment may be impaired. When indicators of potential impairment are present that suggest that the carrying amounts of real estate investments and related intangible assets may not be recoverable, we assess the recoverability by determining whether the respective carrying values will be recovered through the estimated undiscounted future operating cash flows expected from the use of the assets and their eventual disposition over, in most cases, a ten-year holding period. If we believe there is a significant possibility that we might dispose of the assets earlier, we assess the recoverability using a probability weighted analysis of the estimated undiscounted future cash flows expected to be generated from the operations and eventual disposition of the assets over the various possible holding periods. The company may also utilize a market valuation approach, comparing the subject property to recent comparable market transactions in a similar location. If the recoverability assessment indicates that the carrying value of a tested real estate investment is not recoverable from estimated undiscounted future cash flows, it is written down to its estimated fair value and an impairment is recognized. If and when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our plans change, we revise our recoverability analyses to use the cash flows expected from the operations and eventual disposition of each asset using holding periods that are consistent with our revised plans.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Real estate investment fair values are estimated based on agreements with third parties, discounted cash flows, or comparable sales. Estimated future cash flows used in such analyses are based on our views of market and economic conditions. The estimation of future cash flows is subjective and is based on various assumptions, including but not limited to market rental rates, capitalization rates, and recent sales data for comparable real estate investments. Estimated future cash flows are discounted when determining fair value of an asset. Most of these assumptions are influenced by our direct experience with the real estate investments and their markets as well as market data obtained from real estate leasing and brokerage firms. Determining the appropriate capitalization or discount rate also requires significant judgment and is typically based on many factors, including the prevailing rate for the market or submarket, as well as the quality and location of the real estate investment. Changes in the estimated future cash flows due to changes in our plans for a real estate investment, views of market and economic conditions and/or our ability to obtain development rights could result in recognition of an impairment which could be material.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investments held for sale are carried at the lower of their carrying values (i.e., cost less accumulated depreciation and any impairment recognized, where applicable) or estimated fair values less costs to sell. Accordingly, decisions to sell certain operating real estate investments, real estate investments in development or land held for development will result in impairments if carrying values of the specific real estate investments exceed their estimated fair values less costs to sell. The estimates of fair value consider matters such as recent sales data for comparable real estate investments and, where applicable, contracts or the results of negotiations with prospective purchasers. These estimates are subject to revision as market conditions, and our assessment of such conditions, change.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real estate investments, we review each of our investments in unconsolidated real estate ventures to determine whether there are any indicators, including property operating performance, changes in anticipated hold periods, and general market conditions, that the Company's investment in the unconsolidated joint venture may be impaired. If any indicators of impairment are present, we calculate the fair value of the investment in the unconsolidated real estate venture. If the fair value of the investment is less than the carrying value, we determine whether the impairment is other than temporary. If the impairment is determined to be other than temporary, we record an impairment.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considerable judgment in the determination of whether indicators of impairment are present and, in the assumptions, estimations, and inputs used in calculating the fair value of the investment, which is generally determined through income valuation approaches, including discounted cash flows and direct capitalization models. These judgments are similar to those outlined above in the impairment of real estate investments. We also use judgment in making the determination as to whether or not the impairment is temporary by considering, among other things, the length of time that the market value has been less than cost, the financial condition of the unconsolidated real estate venture and our ability and intent to retain the investment long enough for a recovery in value. Our judgments related to the determination of fair value and whether an impairment is other than temporary could result in the recognition of an impairment which could be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our revenues are derived from leases and are reflected as rents on the accompanying consolidated statements of operations. Rental revenue is recognized on a straight-line basis over the term of the lease.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our leases involve some form of improvements to leased space. When we are required to provide improvements under the terms of a lease, we need to determine whether the improvements constitute landlord assets or tenant assets. If the improvements are landlord assets, we capitalize the cost of the improvements and recognize depreciation expense associated with such improvements over the shorter of the estimated useful life or the term of the lease. If the improvements are tenant assets, we defer the cost of improvements funded by us as a lease incentive asset and amortize it as a reduction of rental revenue over the term of the lease. Our determination of whether improvements are landlord assets or tenant assets also may affect when we commence revenue recognition in connection with a lease.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improvements constitute landlord or tenant assets, we consider a number of factors that may require subjective or complex judgments, including: whether the improvements are unique to the tenant or reusable by other tenants; whether the tenant is permitted to alter or remove the improvements without our consent or without compensating us for any lost fair value; whether the ownership of the improvements remains with us or remains with the tenant at the end of the lease term; and whether the economic substance of the lease terms is properly reflected.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leases, we make significant assumptions and judgments in determining the lease term, including assumptions when the lease provides the tenant with an early termination option. The lease term impacts the period over which we determine and record rental revenue and impacts the period over which we amortize lease-related costs. Changes in these assessments could result in the write-off of any recorded assets associated with straight-line rental revenue and acceleration of depreciation and amortization expense associated with costs we incurred related to these leases.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we acquire real estate investments, we allocate the purchase price to tangible assets, consisting of land, building, site improvements, and identified intangible assets and liabilities, including in-place leases and acquired above- and below-market leases, and if applicable, assumed debt, based on our estimate of their fair values.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fair value based on estimated cash flow projections that utilize discount and capitalization rates as well as available market information. The fair value of the tangible assets of an acquired real estate investment considers the value of the real estate investment as if it were vacant. The estimated relative fair value of acquired in-place leases are the estimated costs to lease the real estate investment to the occupancy level at the date of acquisition. We evaluate the period over which we expect stabilized occupancy level to be achieved during the lease-up period. Above- and below-market leases are recorded as an asset or liability based upon the present value of the difference between the contractual amounts to be paid or received pursuant to the in-place leases, and our estimate of fair market rental rates for the corresponding in-place leases, over the remaining noncancellable term. Assumed debt, if any, is recorded at fair value based upon the present value of the expected future payments.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change in any of the key assumptions can materially change not only the presentation of acquired real estate investments in our consolidated financial statements but also our reported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Development Cost Estimates for Contributions to Development Joint Ventures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land is contributed to a development joint venture, estimated common development costs include actual costs incurred and estimates of future common development costs benefiting the property sold. When land is sold, common development costs, if they cannot be specifically identified, are allocated to each sold parcel based upon its relative sales value. For purposes of allocating common development costs, estimates of future sales proceeds and common development costs are re-evaluated throughout the year, with adjustments being allocated prospectively to the remaining land parcels available for sale. The common development cost estimates for development joint ventures are highly judgmental as they are sensitive to cost escalation, sales price escalation and pace of absorption, which are subject to judgment and are affected by expectations about future market or economic conditions. Changes in the assumptions used to estimate future common development costs could result in a significant impact on the amounts recorded as net gain on disposition of real estate or net gain on sale of undepreciated real estate.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is based on our Consolidated Financial Statements for the years ended December 31, 2025 and 2024. Refer to Part II, Item 7. “Results of Operations” in our Annual Report on Form 10-K for the year ended December 31, 2024 for a discussion of the results of operations for the year ended December 31, 2023 which is presented therein in the form of a year-to-year comparison to the year ended December 31, 2024. We believe that presentation of our consolidated financial information, without a breakdown by segment, will effectively present important information useful to our investors.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operating income (“NOI”), as presented in the comparative analysis, below is non-GAAP financial measure defined as total revenue less property operating expenses, real estate taxes, and third party management expenses. Property operating expenses that are included in determining NOI consist of costs that are necessary and allocable to our operating properties such as utilities, property-level salaries, repairs and maintenance, property insurance and management fees. General and administrative expenses that are not reflected in NOI primarily consist of corporate-level salaries, amortization of share awards, and professional fees that are incurred as part of corporate office management. NOI is a non-GAAP financial measure that we use internally to evaluate the operating performance of our real estate assets by segment, as presented in Note 18 “Segment Information,” to our Consolidated Financial Statements, and of our business as a whole. We believe NOI provides useful information to investors regarding our financial condition and results of operations because it reflects only those income and expense items that are incurred at the property level. While NOI is a relevant and widely used measure of operating performance of real estate investment trusts, it does not represent cash flow from operations or net income as defined by GAAP and should not be considered as an alternative to those measures in evaluating our liquidity or operating performance. NOI does not reflect interest expenses, real estate impairments, depreciation and amortization costs, capital expenditures, and leasing costs. We believe that net income (loss), as defined by GAAP, is the most appropriate earnings measure. See Note 18 “Segment Information,” to our Consolidated Financial Statements for a reconciliation of NOI to our consolidated net income (loss) as defined by GAAP.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Year Ended December 31, 2025 to the Year Ended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comparison for the year ended December 31, 2025 to the year ended December 31, 2024, makes reference to the effect of the following:</w:t>
      </w:r>
    </w:p>
    <w:p>
      <w:pPr>
        <w:spacing w:after="0" w:line="198" w:lineRule="exact"/>
        <w:rPr>
          <w:sz w:val="20"/>
          <w:szCs w:val="20"/>
          <w:color w:val="auto"/>
        </w:rPr>
      </w:pPr>
    </w:p>
    <w:p>
      <w:pPr>
        <w:jc w:val="both"/>
        <w:ind w:left="660" w:hanging="328"/>
        <w:spacing w:after="0" w:line="255"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Property Portfolio,” which represents 59 properties containing an aggregate of approximately 11.1 million net rentable square feet that we owned and consolidated for the twelve-month periods ended December 31, 2025 and 2024. The Same Store Property Portfolio includes properties acquired or placed in service on or prior to January 1, 2024 and owned and consolidated through December 31, 2025, excluding properties classified as held for sale,</w:t>
      </w:r>
    </w:p>
    <w:p>
      <w:pPr>
        <w:spacing w:after="0" w:line="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Portfolio,” which represents all properties owned and consolidated by us during 2025 and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Completed/Acquired - Not Yet Stabilized Properties,” which represents three properties (155 King of Prussia Road, 250 King of Prussia Road and 3025 JFK - office) placed into service, acquired or not yet stabilized on or subsequent to January 1, 2024,</w:t>
      </w:r>
    </w:p>
    <w:p>
      <w:pPr>
        <w:jc w:val="both"/>
        <w:ind w:left="660" w:hanging="328"/>
        <w:spacing w:after="0" w:line="250"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“Development/Redevelopment Properties,” which represents three properties (300 Delaware Avenue, 165 King of Prussia Road and 3151 Market Street) currently in development/redevelopment. A property is excluded from our Same Store Property Portfolio and moved into Development/Redevelopment in the period that we determine to proceed with development/redevelopment for a future development strategy,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and 2025 Dispositions,” which represents properties disposed of during 2024 and 2025.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 Ended December 31, 2025 to the Year Ended December 31, 2024</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1"/>
          <w:szCs w:val="11"/>
          <w:i w:val="1"/>
          <w:iCs w:val="1"/>
          <w:color w:val="auto"/>
        </w:rPr>
        <w:t xml:space="preserve">(dollars and square feet in </w:t>
      </w:r>
      <w:r>
        <w:rPr>
          <w:rFonts w:ascii="Times New Roman" w:cs="Times New Roman" w:eastAsia="Times New Roman" w:hAnsi="Times New Roman"/>
          <w:sz w:val="11"/>
          <w:szCs w:val="11"/>
          <w:i w:val="1"/>
          <w:iCs w:val="1"/>
          <w:u w:val="single" w:color="auto"/>
          <w:color w:val="auto"/>
        </w:rPr>
        <w:t>millions except per share amounts)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Revenue:</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Rents</w:t>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Third party management</w:t>
      </w:r>
    </w:p>
    <w:p>
      <w:pPr>
        <w:ind w:left="360" w:right="100"/>
        <w:spacing w:after="0" w:line="233" w:lineRule="auto"/>
        <w:rPr>
          <w:sz w:val="20"/>
          <w:szCs w:val="20"/>
          <w:color w:val="auto"/>
        </w:rPr>
      </w:pPr>
      <w:r>
        <w:rPr>
          <w:rFonts w:ascii="Times New Roman" w:cs="Times New Roman" w:eastAsia="Times New Roman" w:hAnsi="Times New Roman"/>
          <w:sz w:val="11"/>
          <w:szCs w:val="11"/>
          <w:color w:val="auto"/>
        </w:rPr>
        <w:t>fees, labor reimbursement and leasing</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Other</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Total revenue</w:t>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Property operating</w:t>
      </w:r>
    </w:p>
    <w:p>
      <w:pPr>
        <w:ind w:left="360"/>
        <w:spacing w:after="0"/>
        <w:rPr>
          <w:sz w:val="20"/>
          <w:szCs w:val="20"/>
          <w:color w:val="auto"/>
        </w:rPr>
      </w:pPr>
      <w:r>
        <w:rPr>
          <w:rFonts w:ascii="Times New Roman" w:cs="Times New Roman" w:eastAsia="Times New Roman" w:hAnsi="Times New Roman"/>
          <w:sz w:val="12"/>
          <w:szCs w:val="12"/>
          <w:color w:val="auto"/>
        </w:rPr>
        <w:t>expenses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Real estate taxes</w:t>
      </w:r>
    </w:p>
    <w:p>
      <w:pPr>
        <w:spacing w:after="0" w:line="38" w:lineRule="exact"/>
        <w:rPr>
          <w:sz w:val="20"/>
          <w:szCs w:val="20"/>
          <w:color w:val="auto"/>
        </w:rPr>
      </w:pPr>
    </w:p>
    <w:p>
      <w:pPr>
        <w:ind w:left="360" w:right="160"/>
        <w:spacing w:after="0" w:line="236" w:lineRule="auto"/>
        <w:rPr>
          <w:sz w:val="20"/>
          <w:szCs w:val="20"/>
          <w:color w:val="auto"/>
        </w:rPr>
      </w:pPr>
      <w:r>
        <w:rPr>
          <w:rFonts w:ascii="Times New Roman" w:cs="Times New Roman" w:eastAsia="Times New Roman" w:hAnsi="Times New Roman"/>
          <w:sz w:val="12"/>
          <w:szCs w:val="12"/>
          <w:color w:val="auto"/>
        </w:rPr>
        <w:t>Third party management expenses</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Net operating income</w:t>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Depreciation and</w:t>
      </w:r>
    </w:p>
    <w:p>
      <w:pPr>
        <w:ind w:left="360"/>
        <w:spacing w:after="0"/>
        <w:rPr>
          <w:sz w:val="20"/>
          <w:szCs w:val="20"/>
          <w:color w:val="auto"/>
        </w:rPr>
      </w:pPr>
      <w:r>
        <w:rPr>
          <w:rFonts w:ascii="Times New Roman" w:cs="Times New Roman" w:eastAsia="Times New Roman" w:hAnsi="Times New Roman"/>
          <w:sz w:val="12"/>
          <w:szCs w:val="12"/>
          <w:color w:val="auto"/>
        </w:rPr>
        <w:t>amortization</w:t>
      </w:r>
    </w:p>
    <w:p>
      <w:pPr>
        <w:spacing w:after="0" w:line="12" w:lineRule="exact"/>
        <w:rPr>
          <w:sz w:val="20"/>
          <w:szCs w:val="20"/>
          <w:color w:val="auto"/>
        </w:rPr>
      </w:pPr>
    </w:p>
    <w:p>
      <w:pPr>
        <w:ind w:left="360" w:right="120"/>
        <w:spacing w:after="0" w:line="236" w:lineRule="auto"/>
        <w:rPr>
          <w:sz w:val="20"/>
          <w:szCs w:val="20"/>
          <w:color w:val="auto"/>
        </w:rPr>
      </w:pPr>
      <w:r>
        <w:rPr>
          <w:rFonts w:ascii="Times New Roman" w:cs="Times New Roman" w:eastAsia="Times New Roman" w:hAnsi="Times New Roman"/>
          <w:sz w:val="12"/>
          <w:szCs w:val="12"/>
          <w:color w:val="auto"/>
        </w:rPr>
        <w:t>General &amp; administrative expenses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Provision for impairment</w:t>
      </w:r>
    </w:p>
    <w:p>
      <w:pPr>
        <w:spacing w:after="0" w:line="38" w:lineRule="exact"/>
        <w:rPr>
          <w:sz w:val="20"/>
          <w:szCs w:val="20"/>
          <w:color w:val="auto"/>
        </w:rPr>
      </w:pPr>
    </w:p>
    <w:p>
      <w:pPr>
        <w:ind w:left="360" w:right="100"/>
        <w:spacing w:after="0" w:line="236" w:lineRule="auto"/>
        <w:rPr>
          <w:sz w:val="20"/>
          <w:szCs w:val="20"/>
          <w:color w:val="auto"/>
        </w:rPr>
      </w:pPr>
      <w:r>
        <w:rPr>
          <w:rFonts w:ascii="Times New Roman" w:cs="Times New Roman" w:eastAsia="Times New Roman" w:hAnsi="Times New Roman"/>
          <w:sz w:val="12"/>
          <w:szCs w:val="12"/>
          <w:color w:val="auto"/>
        </w:rPr>
        <w:t>Net gain on disposition of real estate</w:t>
      </w:r>
    </w:p>
    <w:p>
      <w:pPr>
        <w:spacing w:after="0" w:line="12" w:lineRule="exact"/>
        <w:rPr>
          <w:sz w:val="20"/>
          <w:szCs w:val="20"/>
          <w:color w:val="auto"/>
        </w:rPr>
      </w:pPr>
    </w:p>
    <w:p>
      <w:pPr>
        <w:ind w:left="360" w:right="160"/>
        <w:spacing w:after="0" w:line="268" w:lineRule="auto"/>
        <w:rPr>
          <w:sz w:val="20"/>
          <w:szCs w:val="20"/>
          <w:color w:val="auto"/>
        </w:rPr>
      </w:pPr>
      <w:r>
        <w:rPr>
          <w:rFonts w:ascii="Times New Roman" w:cs="Times New Roman" w:eastAsia="Times New Roman" w:hAnsi="Times New Roman"/>
          <w:sz w:val="11"/>
          <w:szCs w:val="11"/>
          <w:color w:val="auto"/>
        </w:rPr>
        <w:t>Net loss on sale of undepreciated real estate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Operating income (loss)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Number of properties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Square feet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Core Occupancy % (b)</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Other Income (Expense):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left="242"/>
              <w:spacing w:after="0"/>
              <w:rPr>
                <w:sz w:val="20"/>
                <w:szCs w:val="20"/>
                <w:color w:val="auto"/>
              </w:rPr>
            </w:pPr>
            <w:r>
              <w:rPr>
                <w:rFonts w:ascii="Times New Roman" w:cs="Times New Roman" w:eastAsia="Times New Roman" w:hAnsi="Times New Roman"/>
                <w:sz w:val="12"/>
                <w:szCs w:val="12"/>
                <w:color w:val="auto"/>
                <w:w w:val="98"/>
              </w:rPr>
              <w:t>Recently</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5"/>
          </w:tcPr>
          <w:p>
            <w:pPr>
              <w:jc w:val="center"/>
              <w:ind w:right="180"/>
              <w:spacing w:after="0" w:line="117" w:lineRule="exact"/>
              <w:rPr>
                <w:sz w:val="20"/>
                <w:szCs w:val="20"/>
                <w:color w:val="auto"/>
              </w:rPr>
            </w:pPr>
            <w:r>
              <w:rPr>
                <w:rFonts w:ascii="Times New Roman" w:cs="Times New Roman" w:eastAsia="Times New Roman" w:hAnsi="Times New Roman"/>
                <w:sz w:val="12"/>
                <w:szCs w:val="12"/>
                <w:color w:val="auto"/>
                <w:w w:val="98"/>
              </w:rPr>
              <w:t>Completed/Acquired -</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2"/>
                <w:szCs w:val="12"/>
                <w:color w:val="auto"/>
                <w:w w:val="96"/>
              </w:rPr>
              <w:t>Not Yet Stabilized</w:t>
            </w:r>
          </w:p>
        </w:tc>
        <w:tc>
          <w:tcPr>
            <w:tcW w:w="1560" w:type="dxa"/>
            <w:vAlign w:val="bottom"/>
            <w:gridSpan w:val="6"/>
          </w:tcPr>
          <w:p>
            <w:pPr>
              <w:ind w:left="40"/>
              <w:spacing w:after="0" w:line="122" w:lineRule="exact"/>
              <w:rPr>
                <w:sz w:val="20"/>
                <w:szCs w:val="20"/>
                <w:color w:val="auto"/>
              </w:rPr>
            </w:pPr>
            <w:r>
              <w:rPr>
                <w:rFonts w:ascii="Times New Roman" w:cs="Times New Roman" w:eastAsia="Times New Roman" w:hAnsi="Times New Roman"/>
                <w:sz w:val="12"/>
                <w:szCs w:val="12"/>
                <w:color w:val="auto"/>
              </w:rPr>
              <w:t>Development/Redevelopment</w:t>
            </w:r>
          </w:p>
        </w:tc>
        <w:tc>
          <w:tcPr>
            <w:tcW w:w="1140" w:type="dxa"/>
            <w:vAlign w:val="bottom"/>
            <w:gridSpan w:val="7"/>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6"/>
              </w:rPr>
              <w:t>Other (Eliminations)</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color w:val="auto"/>
                <w:w w:val="97"/>
              </w:rPr>
              <w:t>Same Store Property Portfolio</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242"/>
              <w:spacing w:after="0"/>
              <w:rPr>
                <w:sz w:val="20"/>
                <w:szCs w:val="20"/>
                <w:color w:val="auto"/>
              </w:rPr>
            </w:pPr>
            <w:r>
              <w:rPr>
                <w:rFonts w:ascii="Times New Roman" w:cs="Times New Roman" w:eastAsia="Times New Roman" w:hAnsi="Times New Roman"/>
                <w:sz w:val="12"/>
                <w:szCs w:val="12"/>
                <w:color w:val="auto"/>
                <w:w w:val="94"/>
              </w:rPr>
              <w:t>Properties</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Properties</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jc w:val="center"/>
              <w:ind w:left="282"/>
              <w:spacing w:after="0"/>
              <w:rPr>
                <w:sz w:val="20"/>
                <w:szCs w:val="20"/>
                <w:color w:val="auto"/>
              </w:rPr>
            </w:pPr>
            <w:r>
              <w:rPr>
                <w:rFonts w:ascii="Times New Roman" w:cs="Times New Roman" w:eastAsia="Times New Roman" w:hAnsi="Times New Roman"/>
                <w:sz w:val="12"/>
                <w:szCs w:val="12"/>
                <w:color w:val="auto"/>
                <w:w w:val="89"/>
              </w:rPr>
              <w:t>(a)</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2"/>
                <w:szCs w:val="12"/>
                <w:color w:val="auto"/>
              </w:rPr>
              <w:t>Total Portfolio</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48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Change</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Change</w:t>
            </w:r>
          </w:p>
        </w:tc>
        <w:tc>
          <w:tcPr>
            <w:tcW w:w="80" w:type="dxa"/>
            <w:vAlign w:val="bottom"/>
          </w:tcPr>
          <w:p>
            <w:pPr>
              <w:spacing w:after="0"/>
              <w:rPr>
                <w:sz w:val="13"/>
                <w:szCs w:val="13"/>
                <w:color w:val="auto"/>
              </w:rPr>
            </w:pPr>
          </w:p>
        </w:tc>
        <w:tc>
          <w:tcPr>
            <w:tcW w:w="5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1"/>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91"/>
              </w:rPr>
              <w:t>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1"/>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9"/>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Change</w:t>
            </w:r>
          </w:p>
        </w:tc>
        <w:tc>
          <w:tcPr>
            <w:tcW w:w="100" w:type="dxa"/>
            <w:vAlign w:val="bottom"/>
          </w:tcPr>
          <w:p>
            <w:pPr>
              <w:spacing w:after="0"/>
              <w:rPr>
                <w:sz w:val="13"/>
                <w:szCs w:val="13"/>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 Change</w:t>
            </w:r>
          </w:p>
        </w:tc>
        <w:tc>
          <w:tcPr>
            <w:tcW w:w="0" w:type="dxa"/>
            <w:vAlign w:val="bottom"/>
          </w:tcPr>
          <w:p>
            <w:pPr>
              <w:spacing w:after="0"/>
              <w:rPr>
                <w:sz w:val="1"/>
                <w:szCs w:val="1"/>
                <w:color w:val="auto"/>
              </w:rPr>
            </w:pPr>
          </w:p>
        </w:tc>
      </w:tr>
      <w:tr>
        <w:trPr>
          <w:trHeight w:val="114"/>
        </w:trPr>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5"/>
        </w:trPr>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417.7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409.2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17.3</w:t>
            </w:r>
          </w:p>
        </w:tc>
        <w:tc>
          <w:tcPr>
            <w:tcW w:w="1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spacing w:after="0"/>
              <w:rPr>
                <w:sz w:val="24"/>
                <w:szCs w:val="2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0" w:type="dxa"/>
            <w:vAlign w:val="bottom"/>
          </w:tcPr>
          <w:p>
            <w:pPr>
              <w:spacing w:after="0"/>
              <w:rPr>
                <w:sz w:val="1"/>
                <w:szCs w:val="1"/>
                <w:color w:val="auto"/>
              </w:rPr>
            </w:pPr>
          </w:p>
        </w:tc>
      </w:tr>
      <w:tr>
        <w:trPr>
          <w:trHeight w:val="155"/>
        </w:trPr>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418.8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410.1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17.3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45.3</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84.1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484.4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505.5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108.0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39.7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5.2 %</w:t>
            </w:r>
          </w:p>
        </w:tc>
        <w:tc>
          <w:tcPr>
            <w:tcW w:w="0" w:type="dxa"/>
            <w:vAlign w:val="bottom"/>
          </w:tcPr>
          <w:p>
            <w:pPr>
              <w:spacing w:after="0"/>
              <w:rPr>
                <w:sz w:val="1"/>
                <w:szCs w:val="1"/>
                <w:color w:val="auto"/>
              </w:rPr>
            </w:pPr>
          </w:p>
        </w:tc>
      </w:tr>
      <w:tr>
        <w:trPr>
          <w:trHeight w:val="74"/>
        </w:trPr>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1.5 %</w:t>
            </w: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265.7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261.7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140.3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138.6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41.8 %</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308.7 %</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74"/>
        </w:trPr>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1.9 %</w:t>
            </w: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(51.3)%</w:t>
            </w:r>
          </w:p>
        </w:tc>
        <w:tc>
          <w:tcPr>
            <w:tcW w:w="0" w:type="dxa"/>
            <w:vAlign w:val="bottom"/>
          </w:tcPr>
          <w:p>
            <w:pPr>
              <w:spacing w:after="0"/>
              <w:rPr>
                <w:sz w:val="1"/>
                <w:szCs w:val="1"/>
                <w:color w:val="auto"/>
              </w:rPr>
            </w:pPr>
          </w:p>
        </w:tc>
      </w:tr>
      <w:tr>
        <w:trPr>
          <w:trHeight w:val="149"/>
        </w:trPr>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125.4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123.1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2"/>
                <w:szCs w:val="12"/>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tcPr>
          <w:p>
            <w:pPr>
              <w:spacing w:after="0"/>
              <w:rPr>
                <w:sz w:val="12"/>
                <w:szCs w:val="12"/>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7"/>
              </w:rPr>
              <w:t>(110.2)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-2464435</wp:posOffset>
            </wp:positionV>
            <wp:extent cx="7132320" cy="111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-2095500</wp:posOffset>
            </wp:positionV>
            <wp:extent cx="7132320" cy="111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-1864360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-1572895</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-1272540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-912495</wp:posOffset>
            </wp:positionV>
            <wp:extent cx="7132320" cy="11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-621030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-321310</wp:posOffset>
            </wp:positionV>
            <wp:extent cx="713232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-98425</wp:posOffset>
            </wp:positionV>
            <wp:extent cx="7132320"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1660" w:space="120"/>
            <w:col w:w="946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Interest and investment</w:t>
            </w:r>
          </w:p>
        </w:tc>
        <w:tc>
          <w:tcPr>
            <w:tcW w:w="412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4.4</w:t>
            </w:r>
          </w:p>
        </w:tc>
        <w:tc>
          <w:tcPr>
            <w:tcW w:w="66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3.8</w:t>
            </w:r>
          </w:p>
        </w:tc>
        <w:tc>
          <w:tcPr>
            <w:tcW w:w="680" w:type="dxa"/>
            <w:vAlign w:val="bottom"/>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0.6</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15.8 %</w:t>
            </w:r>
          </w:p>
        </w:tc>
        <w:tc>
          <w:tcPr>
            <w:tcW w:w="0" w:type="dxa"/>
            <w:vAlign w:val="bottom"/>
          </w:tcPr>
          <w:p>
            <w:pPr>
              <w:spacing w:after="0"/>
              <w:rPr>
                <w:sz w:val="1"/>
                <w:szCs w:val="1"/>
                <w:color w:val="auto"/>
              </w:rPr>
            </w:pPr>
          </w:p>
        </w:tc>
      </w:tr>
      <w:tr>
        <w:trPr>
          <w:trHeight w:val="83"/>
        </w:trPr>
        <w:tc>
          <w:tcPr>
            <w:tcW w:w="51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income</w:t>
            </w:r>
          </w:p>
        </w:tc>
        <w:tc>
          <w:tcPr>
            <w:tcW w:w="412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160" w:type="dxa"/>
            <w:vAlign w:val="bottom"/>
            <w:vMerge w:val="continue"/>
            <w:shd w:val="clear" w:color="auto" w:fill="CCEEFF"/>
          </w:tcPr>
          <w:p>
            <w:pPr>
              <w:spacing w:after="0"/>
              <w:rPr>
                <w:sz w:val="6"/>
                <w:szCs w:val="6"/>
                <w:color w:val="auto"/>
              </w:rPr>
            </w:pPr>
          </w:p>
        </w:tc>
        <w:tc>
          <w:tcPr>
            <w:tcW w:w="4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5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Interest expense</w:t>
            </w:r>
          </w:p>
        </w:tc>
        <w:tc>
          <w:tcPr>
            <w:tcW w:w="41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(135.0)</w:t>
            </w: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(116.3)</w:t>
            </w: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(18.7)</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160" w:type="dxa"/>
            <w:vAlign w:val="bottom"/>
            <w:shd w:val="clear" w:color="auto" w:fill="CCEEFF"/>
          </w:tcPr>
          <w:p>
            <w:pPr>
              <w:ind w:left="360"/>
              <w:spacing w:after="0" w:line="127" w:lineRule="exact"/>
              <w:rPr>
                <w:sz w:val="20"/>
                <w:szCs w:val="20"/>
                <w:color w:val="auto"/>
              </w:rPr>
            </w:pPr>
            <w:r>
              <w:rPr>
                <w:rFonts w:ascii="Times New Roman" w:cs="Times New Roman" w:eastAsia="Times New Roman" w:hAnsi="Times New Roman"/>
                <w:sz w:val="12"/>
                <w:szCs w:val="12"/>
                <w:color w:val="auto"/>
              </w:rPr>
              <w:t>Interest expense —</w:t>
            </w:r>
          </w:p>
        </w:tc>
        <w:tc>
          <w:tcPr>
            <w:tcW w:w="412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(5.1)</w:t>
            </w:r>
          </w:p>
        </w:tc>
        <w:tc>
          <w:tcPr>
            <w:tcW w:w="6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(5.0)</w:t>
            </w:r>
          </w:p>
        </w:tc>
        <w:tc>
          <w:tcPr>
            <w:tcW w:w="68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(0.1)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2.0 %</w:t>
            </w:r>
          </w:p>
        </w:tc>
        <w:tc>
          <w:tcPr>
            <w:tcW w:w="0" w:type="dxa"/>
            <w:vAlign w:val="bottom"/>
          </w:tcPr>
          <w:p>
            <w:pPr>
              <w:spacing w:after="0"/>
              <w:rPr>
                <w:sz w:val="1"/>
                <w:szCs w:val="1"/>
                <w:color w:val="auto"/>
              </w:rPr>
            </w:pPr>
          </w:p>
        </w:tc>
      </w:tr>
      <w:tr>
        <w:trPr>
          <w:trHeight w:val="83"/>
        </w:trPr>
        <w:tc>
          <w:tcPr>
            <w:tcW w:w="51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Deferred financing costs</w:t>
            </w:r>
          </w:p>
        </w:tc>
        <w:tc>
          <w:tcPr>
            <w:tcW w:w="412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160" w:type="dxa"/>
            <w:vAlign w:val="bottom"/>
            <w:vMerge w:val="continue"/>
            <w:shd w:val="clear" w:color="auto" w:fill="CCEEFF"/>
          </w:tcPr>
          <w:p>
            <w:pPr>
              <w:spacing w:after="0"/>
              <w:rPr>
                <w:sz w:val="6"/>
                <w:szCs w:val="6"/>
                <w:color w:val="auto"/>
              </w:rPr>
            </w:pPr>
          </w:p>
        </w:tc>
        <w:tc>
          <w:tcPr>
            <w:tcW w:w="4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5160" w:type="dxa"/>
            <w:vAlign w:val="bottom"/>
          </w:tcPr>
          <w:p>
            <w:pPr>
              <w:ind w:left="360"/>
              <w:spacing w:after="0" w:line="127" w:lineRule="exact"/>
              <w:rPr>
                <w:sz w:val="20"/>
                <w:szCs w:val="20"/>
                <w:color w:val="auto"/>
              </w:rPr>
            </w:pPr>
            <w:r>
              <w:rPr>
                <w:rFonts w:ascii="Times New Roman" w:cs="Times New Roman" w:eastAsia="Times New Roman" w:hAnsi="Times New Roman"/>
                <w:sz w:val="12"/>
                <w:szCs w:val="12"/>
                <w:color w:val="auto"/>
              </w:rPr>
              <w:t>Equity in loss of</w:t>
            </w:r>
          </w:p>
        </w:tc>
        <w:tc>
          <w:tcPr>
            <w:tcW w:w="41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color w:val="auto"/>
              </w:rPr>
              <w:t>(57.7)</w:t>
            </w: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color w:val="auto"/>
              </w:rPr>
              <w:t>(191.6)</w:t>
            </w:r>
          </w:p>
        </w:tc>
        <w:tc>
          <w:tcPr>
            <w:tcW w:w="68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auto"/>
              </w:rPr>
              <w:t>133.9</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(69.9)%</w:t>
            </w:r>
          </w:p>
        </w:tc>
        <w:tc>
          <w:tcPr>
            <w:tcW w:w="0" w:type="dxa"/>
            <w:vAlign w:val="bottom"/>
          </w:tcPr>
          <w:p>
            <w:pPr>
              <w:spacing w:after="0"/>
              <w:rPr>
                <w:sz w:val="1"/>
                <w:szCs w:val="1"/>
                <w:color w:val="auto"/>
              </w:rPr>
            </w:pPr>
          </w:p>
        </w:tc>
      </w:tr>
      <w:tr>
        <w:trPr>
          <w:trHeight w:val="116"/>
        </w:trPr>
        <w:tc>
          <w:tcPr>
            <w:tcW w:w="5160" w:type="dxa"/>
            <w:vAlign w:val="bottom"/>
          </w:tcPr>
          <w:p>
            <w:pPr>
              <w:ind w:left="360"/>
              <w:spacing w:after="0" w:line="117" w:lineRule="exact"/>
              <w:rPr>
                <w:sz w:val="20"/>
                <w:szCs w:val="20"/>
                <w:color w:val="auto"/>
              </w:rPr>
            </w:pPr>
            <w:r>
              <w:rPr>
                <w:rFonts w:ascii="Times New Roman" w:cs="Times New Roman" w:eastAsia="Times New Roman" w:hAnsi="Times New Roman"/>
                <w:sz w:val="12"/>
                <w:szCs w:val="12"/>
                <w:color w:val="auto"/>
              </w:rPr>
              <w:t>unconsolidated real estate</w:t>
            </w:r>
          </w:p>
        </w:tc>
        <w:tc>
          <w:tcPr>
            <w:tcW w:w="4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ventures</w:t>
            </w:r>
          </w:p>
        </w:tc>
        <w:tc>
          <w:tcPr>
            <w:tcW w:w="4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Net gain on real estate</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venture transactions</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Gain (loss) on early</w:t>
      </w:r>
    </w:p>
    <w:p>
      <w:pPr>
        <w:ind w:left="360"/>
        <w:spacing w:after="0"/>
        <w:rPr>
          <w:sz w:val="20"/>
          <w:szCs w:val="20"/>
          <w:color w:val="auto"/>
        </w:rPr>
      </w:pPr>
      <w:r>
        <w:rPr>
          <w:rFonts w:ascii="Times New Roman" w:cs="Times New Roman" w:eastAsia="Times New Roman" w:hAnsi="Times New Roman"/>
          <w:sz w:val="11"/>
          <w:szCs w:val="11"/>
          <w:color w:val="auto"/>
        </w:rPr>
        <w:t>extinguishment of debt</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Income tax provision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5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0.2</w:t>
            </w: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56.8</w:t>
            </w: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(56.6)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w:t>
            </w:r>
          </w:p>
        </w:tc>
      </w:tr>
      <w:tr>
        <w:trPr>
          <w:trHeight w:val="284"/>
        </w:trPr>
        <w:tc>
          <w:tcPr>
            <w:tcW w:w="50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89"/>
              </w:rPr>
              <w:t>(12.3)</w:t>
            </w: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1.0</w:t>
            </w: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(13.3)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(1,330.0)%</w:t>
            </w:r>
          </w:p>
        </w:tc>
      </w:tr>
      <w:tr>
        <w:trPr>
          <w:trHeight w:val="229"/>
        </w:trPr>
        <w:tc>
          <w:tcPr>
            <w:tcW w:w="50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(0.1)</w:t>
            </w: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(0.1)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-5607685</wp:posOffset>
            </wp:positionH>
            <wp:positionV relativeFrom="paragraph">
              <wp:posOffset>-97790</wp:posOffset>
            </wp:positionV>
            <wp:extent cx="713232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20" w:space="720"/>
            <w:col w:w="240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8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17.6</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8600" w:type="dxa"/>
            <w:vAlign w:val="bottom"/>
            <w:shd w:val="clear" w:color="auto" w:fill="CCEEFF"/>
          </w:tcPr>
          <w:p>
            <w:pPr>
              <w:ind w:left="140"/>
              <w:spacing w:after="0" w:line="100" w:lineRule="exact"/>
              <w:rPr>
                <w:sz w:val="20"/>
                <w:szCs w:val="20"/>
                <w:color w:val="auto"/>
              </w:rPr>
            </w:pPr>
            <w:r>
              <w:rPr>
                <w:rFonts w:ascii="Times New Roman" w:cs="Times New Roman" w:eastAsia="Times New Roman" w:hAnsi="Times New Roman"/>
                <w:sz w:val="11"/>
                <w:szCs w:val="11"/>
                <w:color w:val="auto"/>
              </w:rPr>
              <w:t>Net loss attributable to</w:t>
            </w: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0" w:type="dxa"/>
            <w:vAlign w:val="bottom"/>
          </w:tcPr>
          <w:p>
            <w:pPr>
              <w:spacing w:after="0"/>
              <w:rPr>
                <w:sz w:val="1"/>
                <w:szCs w:val="1"/>
                <w:color w:val="auto"/>
              </w:rPr>
            </w:pPr>
          </w:p>
        </w:tc>
      </w:tr>
      <w:tr>
        <w:trPr>
          <w:trHeight w:val="116"/>
        </w:trPr>
        <w:tc>
          <w:tcPr>
            <w:tcW w:w="86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2"/>
                <w:szCs w:val="12"/>
                <w:color w:val="auto"/>
              </w:rPr>
              <w:t>Common Shareholders of</w:t>
            </w:r>
          </w:p>
        </w:tc>
        <w:tc>
          <w:tcPr>
            <w:tcW w:w="1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(1.03)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(1.14)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42"/>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82"/>
              <w:spacing w:after="0" w:line="117" w:lineRule="exact"/>
              <w:rPr>
                <w:sz w:val="20"/>
                <w:szCs w:val="20"/>
                <w:color w:val="auto"/>
              </w:rPr>
            </w:pPr>
            <w:r>
              <w:rPr>
                <w:rFonts w:ascii="Times New Roman" w:cs="Times New Roman" w:eastAsia="Times New Roman" w:hAnsi="Times New Roman"/>
                <w:sz w:val="12"/>
                <w:szCs w:val="12"/>
                <w:color w:val="auto"/>
              </w:rPr>
              <w:t>0.11</w:t>
            </w:r>
          </w:p>
        </w:tc>
        <w:tc>
          <w:tcPr>
            <w:tcW w:w="7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Brandywine Realty Trust</w:t>
            </w:r>
          </w:p>
        </w:tc>
        <w:tc>
          <w:tcPr>
            <w:tcW w:w="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hanging="332"/>
        <w:spacing w:after="0" w:line="261" w:lineRule="auto"/>
        <w:tabs>
          <w:tab w:leader="none" w:pos="33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certain revenues and expenses at the corporate level as well as various intercompany costs that are eliminated in consolidation, third-party management fees, provisions for impairment, and changes in the accrued rent receivable allowance. Other/(Eliminations) also includes properties sold, properties classified as held for sale, the parking operations of pre-development projects, the residential and retail components within University City in Philadelphia, Pennsylvania, the restaurant component of Cira Centre, the B.Labs incubator, remediation costs of insured events.</w:t>
      </w: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Core Properties.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Rents from the Total Portfolio decreased $11.7 million primarily as a result of the following:</w:t>
      </w:r>
    </w:p>
    <w:p>
      <w:pPr>
        <w:spacing w:after="0" w:line="171"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decrease due to the sale of five Class B office properties in the Plymouth Meeting Executive Center in Plymouth Meeting, PA in the third quarter of 2024;</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million decrease due to the sale of One and Two Barton Skyway, Austin, TX in the fourth quarter of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$9.3 million increase related to our Recently Completed/Acquired Properties, which are comprised of 250 King of Prussia Road, Radnor, PA, 155 King of Prussia Road, Radnor, PA and the office portion of 3025 JFK Boulevard, Philadelphia, PA during 2025; and</w:t>
      </w:r>
    </w:p>
    <w:p>
      <w:pPr>
        <w:ind w:left="66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increase related to the residential portion of 3025 JFK Boulevard, Philadelphia, PA, which was consolidated during the fourth quarter of 2025.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decreased primarily due to the Company recognizing $6.5 million of insurance proceeds in connection with the resolution of a legal dispute that was settled during the third quarter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Impairment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second quarter of 2025, the Company recognized $63.4 million in aggregate impairments, comprised of (i) $34.1 million on two properties classified as held for use located in our Austin, Texas segment and (ii) $29.3 million on the sale of two office properties located in our Austin, Texas segment. See Note 3 “Real Estate Investments.”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we recognized a provision for impairment of $17.3 million on two office properties sold during the fourth quarter of 2024 located in our Austin, Texas segment. During the third quarter of 2024, we recognized a provision for impairment of $3.8 million on six properties sold during the third quarter of 2024, five of which were located in our Pennsylvania Suburbs segment and one of which was located in our Other segment. In addition, during the third quarter of 2024, we recognized a provision for impairment of $23.5 million on one property in our Other segment. The estimated fair value for this property was based upon a purchase and sale agreement pending as of September 30, 2024. The purchase and sale agreement was terminated during the fourth quarter of 2024 and the property currently remains in our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Gain on Disposition of Real Estate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2025, the Company recognized a gain of $9.4 million from installment proceeds received from the buyer of a property, located in Philadelphia, Pennsylvania, that the Company sold in March 2017. In March 2017, the Company sold the property for a gross sales price of $21.4 million. At the settlement, the Company received a partial payment of $12.0 million and recognized a corresponding gain on sale of $6.5 million. The remainder of the payment of $9.4 million was deferred and was initially contingent upon termination or expiration of a lease at the property with an existing tenant. In 2024, the deferred contingent payment obligation was changed to a fixed payment obligation. The $9.4 million payment was received in 2025 and was recognized as a gain on disposition of real estate.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$2.3 million gain on disposition of real estate for 2024 is due to the sale of a parking lot property in Richmond, Virginia for a gross sales price of $8.5 million and net cash proceeds of $8.3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by approximately $18.7 million for the year ended December 31, 2025 compared to 2024, as detailed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Component</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Change in interest expense for the year ended December 31, 2025 compared to December 31, 2024</w:t>
            </w:r>
          </w:p>
        </w:tc>
        <w:tc>
          <w:tcPr>
            <w:tcW w:w="0" w:type="dxa"/>
            <w:vAlign w:val="bottom"/>
          </w:tcPr>
          <w:p>
            <w:pPr>
              <w:spacing w:after="0"/>
              <w:rPr>
                <w:sz w:val="1"/>
                <w:szCs w:val="1"/>
                <w:color w:val="auto"/>
              </w:rPr>
            </w:pPr>
          </w:p>
        </w:tc>
      </w:tr>
      <w:tr>
        <w:trPr>
          <w:trHeight w:val="153"/>
        </w:trPr>
        <w:tc>
          <w:tcPr>
            <w:tcW w:w="6520" w:type="dxa"/>
            <w:vAlign w:val="bottom"/>
            <w:tcBorders>
              <w:bottom w:val="single" w:sz="8" w:color="CCEEFF"/>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jc w:val="right"/>
              <w:ind w:right="1962"/>
              <w:spacing w:after="0"/>
              <w:rPr>
                <w:sz w:val="20"/>
                <w:szCs w:val="20"/>
                <w:color w:val="auto"/>
              </w:rPr>
            </w:pPr>
            <w:r>
              <w:rPr>
                <w:rFonts w:ascii="Times New Roman" w:cs="Times New Roman" w:eastAsia="Times New Roman" w:hAnsi="Times New Roman"/>
                <w:sz w:val="12"/>
                <w:szCs w:val="12"/>
                <w:color w:val="auto"/>
              </w:rPr>
              <w:t>(in thousands)</w:t>
            </w:r>
          </w:p>
        </w:tc>
        <w:tc>
          <w:tcPr>
            <w:tcW w:w="0" w:type="dxa"/>
            <w:vAlign w:val="bottom"/>
          </w:tcPr>
          <w:p>
            <w:pPr>
              <w:spacing w:after="0"/>
              <w:rPr>
                <w:sz w:val="1"/>
                <w:szCs w:val="1"/>
                <w:color w:val="auto"/>
              </w:rPr>
            </w:pPr>
          </w:p>
        </w:tc>
      </w:tr>
      <w:tr>
        <w:trPr>
          <w:trHeight w:val="15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Increases to interest expense due to:</w:t>
            </w:r>
          </w:p>
        </w:tc>
        <w:tc>
          <w:tcPr>
            <w:tcW w:w="10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An additional $150 million aggregate principal amount of 8.875% Guaranteed Notes due 2029</w:t>
            </w:r>
          </w:p>
        </w:tc>
        <w:tc>
          <w:tcPr>
            <w:tcW w:w="1040" w:type="dxa"/>
            <w:vAlign w:val="bottom"/>
          </w:tcPr>
          <w:p>
            <w:pPr>
              <w:jc w:val="right"/>
              <w:ind w:right="902"/>
              <w:spacing w:after="0"/>
              <w:rPr>
                <w:sz w:val="20"/>
                <w:szCs w:val="20"/>
                <w:color w:val="auto"/>
              </w:rPr>
            </w:pPr>
            <w:r>
              <w:rPr>
                <w:rFonts w:ascii="Times New Roman" w:cs="Times New Roman" w:eastAsia="Times New Roman" w:hAnsi="Times New Roman"/>
                <w:sz w:val="12"/>
                <w:szCs w:val="12"/>
                <w:color w:val="auto"/>
                <w:w w:val="99"/>
              </w:rPr>
              <w:t>$</w:t>
            </w:r>
          </w:p>
        </w:tc>
        <w:tc>
          <w:tcPr>
            <w:tcW w:w="3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15,799</w:t>
            </w:r>
          </w:p>
        </w:tc>
        <w:tc>
          <w:tcPr>
            <w:tcW w:w="0" w:type="dxa"/>
            <w:vAlign w:val="bottom"/>
          </w:tcPr>
          <w:p>
            <w:pPr>
              <w:spacing w:after="0"/>
              <w:rPr>
                <w:sz w:val="1"/>
                <w:szCs w:val="1"/>
                <w:color w:val="auto"/>
              </w:rPr>
            </w:pPr>
          </w:p>
        </w:tc>
      </w:tr>
      <w:tr>
        <w:trPr>
          <w:trHeight w:val="185"/>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Issuance of $300 million aggregate principal amount of our 6.125% Guaranteed Notes due 2031</w:t>
            </w:r>
          </w:p>
        </w:tc>
        <w:tc>
          <w:tcPr>
            <w:tcW w:w="1040" w:type="dxa"/>
            <w:vAlign w:val="bottom"/>
            <w:shd w:val="clear" w:color="auto" w:fill="CCEEFF"/>
          </w:tcPr>
          <w:p>
            <w:pPr>
              <w:spacing w:after="0"/>
              <w:rPr>
                <w:sz w:val="16"/>
                <w:szCs w:val="16"/>
                <w:color w:val="auto"/>
              </w:rPr>
            </w:pPr>
          </w:p>
        </w:tc>
        <w:tc>
          <w:tcPr>
            <w:tcW w:w="3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4,543</w:t>
            </w:r>
          </w:p>
        </w:tc>
        <w:tc>
          <w:tcPr>
            <w:tcW w:w="0" w:type="dxa"/>
            <w:vAlign w:val="bottom"/>
          </w:tcPr>
          <w:p>
            <w:pPr>
              <w:spacing w:after="0"/>
              <w:rPr>
                <w:sz w:val="1"/>
                <w:szCs w:val="1"/>
                <w:color w:val="auto"/>
              </w:rPr>
            </w:pPr>
          </w:p>
        </w:tc>
      </w:tr>
      <w:tr>
        <w:trPr>
          <w:trHeight w:val="156"/>
        </w:trPr>
        <w:tc>
          <w:tcPr>
            <w:tcW w:w="6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Decrease in capitalized interest on not wholly-owned properties (a)</w:t>
            </w:r>
          </w:p>
        </w:tc>
        <w:tc>
          <w:tcPr>
            <w:tcW w:w="1040" w:type="dxa"/>
            <w:vAlign w:val="bottom"/>
          </w:tcPr>
          <w:p>
            <w:pPr>
              <w:spacing w:after="0"/>
              <w:rPr>
                <w:sz w:val="13"/>
                <w:szCs w:val="13"/>
                <w:color w:val="auto"/>
              </w:rPr>
            </w:pPr>
          </w:p>
        </w:tc>
        <w:tc>
          <w:tcPr>
            <w:tcW w:w="3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6,182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$178 million Construction Loan acquired through 3025 JFK consolidation</w:t>
            </w:r>
          </w:p>
        </w:tc>
        <w:tc>
          <w:tcPr>
            <w:tcW w:w="1040" w:type="dxa"/>
            <w:vAlign w:val="bottom"/>
            <w:tcBorders>
              <w:bottom w:val="single" w:sz="8" w:color="CCEEFF"/>
            </w:tcBorders>
            <w:shd w:val="clear" w:color="auto" w:fill="CCEEFF"/>
          </w:tcPr>
          <w:p>
            <w:pPr>
              <w:spacing w:after="0"/>
              <w:rPr>
                <w:sz w:val="13"/>
                <w:szCs w:val="13"/>
                <w:color w:val="auto"/>
              </w:rPr>
            </w:pPr>
          </w:p>
        </w:tc>
        <w:tc>
          <w:tcPr>
            <w:tcW w:w="3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2,279</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2"/>
                <w:szCs w:val="12"/>
                <w:color w:val="auto"/>
              </w:rPr>
              <w:t>Other interest expense</w:t>
            </w:r>
          </w:p>
        </w:tc>
        <w:tc>
          <w:tcPr>
            <w:tcW w:w="10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1,132</w:t>
            </w:r>
          </w:p>
        </w:tc>
        <w:tc>
          <w:tcPr>
            <w:tcW w:w="0" w:type="dxa"/>
            <w:vAlign w:val="bottom"/>
          </w:tcPr>
          <w:p>
            <w:pPr>
              <w:spacing w:after="0"/>
              <w:rPr>
                <w:sz w:val="1"/>
                <w:szCs w:val="1"/>
                <w:color w:val="auto"/>
              </w:rPr>
            </w:pPr>
          </w:p>
        </w:tc>
      </w:tr>
      <w:tr>
        <w:trPr>
          <w:trHeight w:val="156"/>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increases to interest expense</w:t>
            </w:r>
          </w:p>
        </w:tc>
        <w:tc>
          <w:tcPr>
            <w:tcW w:w="1040" w:type="dxa"/>
            <w:vAlign w:val="bottom"/>
            <w:tcBorders>
              <w:bottom w:val="single" w:sz="8" w:color="CCEEFF"/>
            </w:tcBorders>
            <w:shd w:val="clear" w:color="auto" w:fill="CCEEFF"/>
          </w:tcPr>
          <w:p>
            <w:pPr>
              <w:spacing w:after="0"/>
              <w:rPr>
                <w:sz w:val="13"/>
                <w:szCs w:val="13"/>
                <w:color w:val="auto"/>
              </w:rPr>
            </w:pPr>
          </w:p>
        </w:tc>
        <w:tc>
          <w:tcPr>
            <w:tcW w:w="3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29,935</w:t>
            </w:r>
          </w:p>
        </w:tc>
        <w:tc>
          <w:tcPr>
            <w:tcW w:w="0" w:type="dxa"/>
            <w:vAlign w:val="bottom"/>
          </w:tcPr>
          <w:p>
            <w:pPr>
              <w:spacing w:after="0"/>
              <w:rPr>
                <w:sz w:val="1"/>
                <w:szCs w:val="1"/>
                <w:color w:val="auto"/>
              </w:rPr>
            </w:pPr>
          </w:p>
        </w:tc>
      </w:tr>
      <w:tr>
        <w:trPr>
          <w:trHeight w:val="155"/>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Decreases to interest expense due to:</w:t>
            </w: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Redemption of our $350 million 4.10% Guaranteed Notes due 2024</w:t>
            </w:r>
          </w:p>
        </w:tc>
        <w:tc>
          <w:tcPr>
            <w:tcW w:w="1040" w:type="dxa"/>
            <w:vAlign w:val="bottom"/>
            <w:tcBorders>
              <w:bottom w:val="single" w:sz="8" w:color="CCEEFF"/>
            </w:tcBorders>
            <w:shd w:val="clear" w:color="auto" w:fill="CCEEFF"/>
          </w:tcPr>
          <w:p>
            <w:pPr>
              <w:spacing w:after="0"/>
              <w:rPr>
                <w:sz w:val="13"/>
                <w:szCs w:val="13"/>
                <w:color w:val="auto"/>
              </w:rPr>
            </w:pPr>
          </w:p>
        </w:tc>
        <w:tc>
          <w:tcPr>
            <w:tcW w:w="3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(4,096)</w:t>
            </w:r>
          </w:p>
        </w:tc>
        <w:tc>
          <w:tcPr>
            <w:tcW w:w="0" w:type="dxa"/>
            <w:vAlign w:val="bottom"/>
          </w:tcPr>
          <w:p>
            <w:pPr>
              <w:spacing w:after="0"/>
              <w:rPr>
                <w:sz w:val="1"/>
                <w:szCs w:val="1"/>
                <w:color w:val="auto"/>
              </w:rPr>
            </w:pPr>
          </w:p>
        </w:tc>
      </w:tr>
      <w:tr>
        <w:trPr>
          <w:trHeight w:val="155"/>
        </w:trPr>
        <w:tc>
          <w:tcPr>
            <w:tcW w:w="6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Repayment of the $245 million Secured Term Loan due 2028</w:t>
            </w:r>
          </w:p>
        </w:tc>
        <w:tc>
          <w:tcPr>
            <w:tcW w:w="104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Repayment of the $70 million One-Year Term Loan due 2025</w:t>
            </w:r>
          </w:p>
        </w:tc>
        <w:tc>
          <w:tcPr>
            <w:tcW w:w="1040" w:type="dxa"/>
            <w:vAlign w:val="bottom"/>
            <w:tcBorders>
              <w:bottom w:val="single" w:sz="8" w:color="auto"/>
            </w:tcBorders>
            <w:shd w:val="clear" w:color="auto" w:fill="CCEEFF"/>
          </w:tcPr>
          <w:p>
            <w:pPr>
              <w:spacing w:after="0"/>
              <w:rPr>
                <w:sz w:val="14"/>
                <w:szCs w:val="14"/>
                <w:color w:val="auto"/>
              </w:rPr>
            </w:pPr>
          </w:p>
        </w:tc>
        <w:tc>
          <w:tcPr>
            <w:tcW w:w="3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(4,384)</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decreases to interest expense</w:t>
            </w:r>
          </w:p>
        </w:tc>
        <w:tc>
          <w:tcPr>
            <w:tcW w:w="10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(11,285)</w:t>
            </w:r>
          </w:p>
        </w:tc>
        <w:tc>
          <w:tcPr>
            <w:tcW w:w="0" w:type="dxa"/>
            <w:vAlign w:val="bottom"/>
          </w:tcPr>
          <w:p>
            <w:pPr>
              <w:spacing w:after="0"/>
              <w:rPr>
                <w:sz w:val="1"/>
                <w:szCs w:val="1"/>
                <w:color w:val="auto"/>
              </w:rPr>
            </w:pPr>
          </w:p>
        </w:tc>
      </w:tr>
      <w:tr>
        <w:trPr>
          <w:trHeight w:val="20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change in interest expense</w:t>
            </w:r>
          </w:p>
        </w:tc>
        <w:tc>
          <w:tcPr>
            <w:tcW w:w="104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2"/>
                <w:szCs w:val="12"/>
                <w:color w:val="auto"/>
                <w:w w:val="99"/>
              </w:rPr>
              <w:t>$</w:t>
            </w:r>
          </w:p>
        </w:tc>
        <w:tc>
          <w:tcPr>
            <w:tcW w:w="3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18,650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The Company ceased interest capitalization on One Uptown - Office, One Uptown - Multifamily, and 3025 JFK in 2025 as we reached the end of the capitalization period at the end of 2024.</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 of Unconsolidated Real Estate Ventures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Equity in loss of real estate ventures decreased primarily due to the Company's recognition of an impairment charge on the properties in the Commerce Square Venture in the third quarter of 2024. Additionally, the Company recognized an other than temporary impairment loss on its investment in the 4040 Wilson Venture, which was partially offset by the income at the Mid-</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Atlantic Office Venture in the third quarter of 2024. During 2025, the Company recognized impairment losses related to the consolidation of 3025 JFK Venture and 3151 Market Street Venture. See Note 4 “Investment in Unconsolidated Real Estate Ventures” to our Consolidated Financial Statements for further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Gain on Real Estate Venture Transactions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28, 2024, we recapitalized our Original MAP Venture, in which we had a negative investment balance of $52.2 million as of March 31, 2024. In connection with the recapitalization, we recognized a one-time, non-cash gain of $53.8 million in connection with the derecognition of the negative investment balance in the Original MAP Venture. See Note 4 “Investment in Unconsolidated Real Estate Ventures” to our Consolidated Financial Statements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early extinguishment of debt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gain (loss) on early extinguishment of debt is related to the costs incurred as part of the payoff of the $245 million Secured Term Loan due 2028.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liquidity funding needs for the next twelve months are as follows:</w:t>
      </w:r>
    </w:p>
    <w:p>
      <w:pPr>
        <w:spacing w:after="0" w:line="2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recurring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including capital and tenant improvements and leasing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principal repayment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development and redevelopment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to unconsolidated real estate ventures and investment vehicles;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shareholders to maintain our REIT status;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acquisitions of properties, either directly or indirectly through the acquisition of equity interest therein;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common share repurchases.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satisfy these needs using one or more of the following:</w:t>
      </w:r>
    </w:p>
    <w:p>
      <w:pPr>
        <w:spacing w:after="0" w:line="2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cash from our unconsolidated real estate ventures;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 balances;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under our unsecured credit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construction loans and long-term unsecured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real estate or contributions of interests in real estate to joint ventures;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Parent Company equity securities and/or units of the Operating Partnership.</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Parent Company owned a 99.7% interest in the Operating Partnership. The remaining interest of approximately 0.3% pertains to common limited partnership interests owned by non-affiliated investors who contributed property to the Operating Partnership in exchange for their interests. As the sole general partner of the Operating Partnership, the Parent Company has full and complete responsibility for the Operating Partnership’s day-to-day operations and management. The Parent Company’s source of funding for its dividend payments and other obligations is the distributions it receives from the Operating Partnership.</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summarized above, we believe that our liquidity needs will be satisfied through available cash balances and cash flows from operations, financing activities and real estate sales. Rental revenue and other income from operations are our principal sources of cash to pay operating expenses, debt service, recurring capital expenditures and the minimum distributions required to maintain our REIT qualification. We seek to increase cash flows from our properties by maintaining quality standards for our properties that promote high occupancy rates and permit increases in rental rates while reducing tenant turnover and controlling operating expenses. Our revenue also includes third-party fees generated by our property management, leasing, development/redevelopment and construction businesses. We believe that our revenue, together with proceeds from property sales and debt financings, will continue to provide funds for our short-term liquidity needs. However, material changes in our operating or financing activities may adversely affect our net cash flows. With uncertain economic conditions, vacancy rates may increase, effective rental rates on new and renewed leases may decrease and tenant installation costs, including concessions, may increase in most or all of our markets during 2026 and possibly beyond. As a result, our revenues and cash flows could be insufficient to cover operating expenses, including increased tenant installation costs, pay debt service or make distributions to shareholders over the short-term. If this situation were to occur, we expect that we would finance cash deficits through borrowings under our unsecured credit facility and other sources of debt and equity financings. In addition, a material adverse change in cash provided by operations could adversely affect our compliance with financial performance covenants under our unsecured credit facility, including unsecured term loans and unsecured notes. As of December 31, 2025, we were in compliance with all of our debt covenants and requirement obligations.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2023, the Company entered into an unsecured one-year term loan agreement in the aggregate principal amount of $70.0 million (the “2023 Term Loan”). The 2023 Term Loan was scheduled to mature on February 28, 2024. In January 2024, the Company executed its option to extend the 2023 Term Loan for an additional twelve months to February 28, 2025. The 2023 Term Loan bore interest at Daily Simple SOFR plus 1.90% with a 0.10% SOFR adjustment per year and was interest-only (payable monthly) through the maturity date. The Company repaid the loan in full on its maturity date of February 28, 2025.</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completed an underwritten offering of $400.0 million aggregate principal amount of our 8.875% Guaranteed Notes due 2029 (the “2029 Notes”). The 2029 Notes were priced at approximately 99.51% of their face amount.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We received approximately $391.8 million of net proceeds after the deduction for underwriting discounts and offering expenses.</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April 15, 2024, we commenced a tender offer (the “Tender Offer”) for any and all of the outstanding $335.1 million principal amount of our 4.10% Guaranteed Notes due 2024 (the “2024 Notes”). The purchase price offered per $1,000 principal amount of 2024 Notes pursuant to the Tender Offer was determined by reference to the fixed spread for the 2024 Notes of 0 basis points plus the yield based on the bid-side price of the 4.250% U.S. Treasury due September 30, 2024. The Tender Offer expired on April 19, 2024. Upon completion of the Tender Offer, on April 23, 2024, the Company issued a redemption notice to redeem any 2024 Notes that remained outstanding after the Tender Offer. On June 7, 2024, we redeemed the remaining $113.4 million of our 2024 Bonds at the aggregate principal amount outstanding together with accrued and unpaid interest thereon to the redemption date.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27, 2025, we completed an underwritten offering and sale of $150.0 million of our 8.875% Guaranteed Notes due 2029 (the "Additional 2029 Notes"). The Additional 2029 Notes form part of the same series as our then outstanding $400 million aggregate principal amount of 8.875% Guaranteed Notes due 2029 (the "Initial 2029 Notes"), and, following the issuance and sale of the Additional 2029 Notes on June 27, 2025, $550 million aggregate principal amount of our 8.875% Guaranteed Notes due 2029 are outstanding. The Additional 2029 Notes were priced at 106% of their face amount. We received approximately $157 million of net proceeds from our issuance of the Additional 2029 Notes after the deduction for underwriting discounts and offering expenses. The Additional 2029 Notes have been reflected net of premiums of $9.0 million in the consolidated balance sheets as of June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23, 2025, the Company repaid the $50.0 million construction loan related to 155 King of Prussia Road in Radnor, Pennsylvania in full.</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3, 2025, the Company completed an underwritten offering of $300.0 million aggregate principal amount of its 6.125% Guaranteed Notes due 2031 (the "2031 Notes"). The 2031 Notes were priced at 100% of their face amount. The net proceeds from the offering, after deducting underwriting discounts and estimated transaction expenses related to this offering, totaled approximately $296.3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6, 2025, the Company repaid its $245.0 million Secured Loan due 2028 in full.</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22, 2025, the Company acquired all of its partner's preferred equity interest in the 3025 JFK Venture and consolidated the existing $178 million secured construction loan that matures in July 2026. The interest rate is capped at 6.60% through the maturity of the loan.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19, 2025, the company closed on a $50.5 million C-PACE financing on its development project at 3151 Market Street located in, Philadelphia, Pennsylvania. The loan bears interest at 7.31% and has a maturity date of March 31, 2054.</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outstanding 7.55% Guaranteed Notes due 2028 (the “2028 Notes”) include an interest rate adjustment provision whereby the interest rate payable on the 2028 Notes is subject to a 25 basis point adjustment if either Moody's Investors Services Inc, and its successors ("Moody's"), or S&amp;P Global Ratings, and its successors ("S&amp;P") downgrades (or subsequently upgrades) its rating assigned to the 2028 Notes. During the third quarter of 2023, Moody’s downgraded our senior unsecured credit rating from Baa3 to Ba1. As a result of the downgrade, the interest rate on the 2028 Notes increased 25 basis points to 7.80% in September 2023. In January 2024, S&amp;P downgraded our senior unsecured credit rating from BBB- to BB+. As a result of the downgrade, the interest rate on the 2028 Notes increased 25 basis points to 8.05% in March 2024. During the second quarter of 2024, Moody's downgraded our senior unsecured credit rating from Ba1 to Ba2. As a result of the downgrade, the interest rate on the 2028 Notes increased 25 basis points to 8.30% in April 2024 due to the coupon adjustment provisions within the 2028 Notes.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incur additional debt is dependent upon a number of factors, including our credit ratings, the value of our unencumbered assets, our degree of leverage and borrowing restrictions imposed by our lenders. If one or more rating agencies were to downgrade our unsecured credit rating, our access to the unsecured debt market would be more limited and the interest rate under our unsecured credit facility and unsecured term loan would increase.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our senior unsecured credit ratings and outlook were as follows:</w:t>
            </w: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43"/>
        </w:trPr>
        <w:tc>
          <w:tcPr>
            <w:tcW w:w="6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30"/>
        </w:trPr>
        <w:tc>
          <w:tcPr>
            <w:tcW w:w="6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Moody's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S&amp;P</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Ba2</w:t>
            </w:r>
          </w:p>
        </w:tc>
        <w:tc>
          <w:tcPr>
            <w:tcW w:w="28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BB+</w:t>
            </w:r>
          </w:p>
        </w:tc>
      </w:tr>
      <w:tr>
        <w:trPr>
          <w:trHeight w:val="230"/>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206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Stable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6" w:name="page47"/>
    <w:bookmarkEnd w:id="46"/>
    <w:p>
      <w:pPr>
        <w:jc w:val="both"/>
        <w:spacing w:after="0" w:line="242" w:lineRule="auto"/>
        <w:rPr>
          <w:sz w:val="20"/>
          <w:szCs w:val="20"/>
          <w:color w:val="auto"/>
        </w:rPr>
      </w:pPr>
      <w:r>
        <w:rPr>
          <w:rFonts w:ascii="Times New Roman" w:cs="Times New Roman" w:eastAsia="Times New Roman" w:hAnsi="Times New Roman"/>
          <w:sz w:val="18"/>
          <w:szCs w:val="18"/>
          <w:color w:val="auto"/>
        </w:rPr>
        <w:t>If our credit ratings are lowered further, our ability to access the public debt markets, our costs of funds, and other terms for new debt issuances could be adversely impacted. Each of the credit ratings agencies reviews its ratings periodically and there is no guarantee our current credit ratings will remain the same.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multiple financing sources to fund our long-term capital needs. When needed, we use borrowings under our unsecured credit facility for general business purposes, including to meet debt maturities and to fund distributions to shareholders as well as development and acquisition costs and other expenses. In light of the volatility in financial markets and economic uncertainties, it is possible that one or more lenders under our unsecured credit facility could fail to fund a borrowing request. Such an event could adversely affect our ability to access funds under our unsecured credit facility when needed to fund distributions or pay expenses.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incur additional debt is dependent upon a number of factors, including our credit ratings, the value of our unencumbered assets, our degree of leverage and borrowing restrictions imposed by our lenders. If one or more rating agencies were to downgrade our unsecured credit rating, our access to the unsecured debt market would be more limited and the interest rate under our unsecured credit facility and unsecured term loan would increase.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Parent Company unconditionally guarantees the Operating Partnership’s unsecured debt obligations, which, as of December 31, 2025, amounted to $2,328.6 million. The Operating Partnership’s secured debt obligations as of December 31, 2025 amounted to $235.3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Parent Company issues equity from time to time, the proceeds of which it contributes to the Operating Partnership in exchange for additional interests in the Operating Partnership, and guarantees debt obligations of the Operating Partnership. The Parent Company’s ability to sell common shares and preferred shares is dependent on, among other things, general market conditions for REITs, market perceptions about the Company as a whole, and the current trading price of the Parent Company’s shares. The Parent Company maintains a shelf registration statement that covers the offering and sale of common shares, preferred shares, depositary shares, warrants and unsecured debt securities. Subject to our ongoing compliance with securities laws, and if warranted by market conditions, we may offer and sell equity and debt securities from time to time under the shelf registration statement or in transactions exempt from registration.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Note 12 “Beneficiaries' Equity of the Parent Company,” to our Consolidated Financial Statements for further information related to our share repurchase program. We expect to fund any additional share repurchases with a combination of available cash balances and availability under our unsecured credit facility. The timing and amounts of any repurchases will depend on a variety of factors, including market conditions, regulatory requirements, share prices, capital availability and other factors as determined by our management team. The repurchase program does not require the purchase of any minimum number of shares and may be suspended or discontinued at any time without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Partnership also considers net sales of selected properties and recapitalization of unconsolidated real estate ventures as additional sources of managing its liquidity. During the year ended December 31, 2025, we completed the sales of two office properties located in the Austin, Texas segment for a total gross sales price of $72.7 million, and 23.2 acres of land located in Richmond, Virginia for a gross sales price of $4.6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$32.3 million of cash and cash equivalents and $564.5 million of available borrowings under our unsecured credit facility, net of $35.5 million in letters of credit outstanding. Based on the foregoing, as well as cash flows from operations net of dividend requirements, we believe we have sufficient capital to fund our remaining capital requirements on existing development and redevelopment projects and pursue additional attractive investment opportunities. We expect that our primary uses of capital during 2026 will be to fund our current development and redevelopment projects.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of our cash flows is based on the consolidated statement of cash flows and is not meant to be a comprehensive discussion of the changes in our cash flows for the years presented.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we maintained cash and cash equivalents and restricted cash of $62.3 million and $96.2 million, respectively. We report and analyze our cash flows based on operating activities, investing activities, and financing activities. The following table summarizes changes in our cash flows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Activity</w:t>
            </w:r>
          </w:p>
        </w:tc>
        <w:tc>
          <w:tcPr>
            <w:tcW w:w="3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(64,424)</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(86,097)</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88,003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(62,518)</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 of cash flows is from the leasing of space at our Properties. Our Properties provide a relatively consistent stream of cash flows that provides us with the resources to fund operating expenses, debt service and quarterly dividends. The decrease in operating cash flows is primarily due to the decrease in prepaid rents in 2025 compared to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is used in investing activities to fund acquisitions, development, or redevelopment projects and recurring and nonrecurring capital expenditures. We selectively invest in new projects that we expect will enable us to take advantage of our development/redevelopment, leasing, financing, and property management skills and invest in existing buildings that meet our investment criteria for additional capital. During the year ended December 31, 2025, when compared to the year ended December 31, 2024, the change in investing cash flows was due to the following activities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(Decrease) Increase</w:t>
            </w: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(105,819)</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and capitalized interest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improvements/acquisition deposits/leasing costs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investments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123,374</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sale of properties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(81,546)</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note receivable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distributions from unconsolidated real estate ventures</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(43,471)</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net cash used in investing activities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(86,097)</w:t>
            </w: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our investment activity through the sale of real estate, property-level financing, unsecured and secured credit facilities, senior unsecured notes, and construction loans. From time to time, we may issue common or preferred shares of beneficial interest, or the Operating Partnership may issue common or preferred units of limited partnership interest. During the year ended December 31, 2025, when compared to the year ended December 31, 2024, the change in financing cash flows was due to the following activities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(Decrease) Increase</w:t>
            </w: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116,296</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debt obligations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costs paid</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paid</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net cash provided by financing activities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88,003</w:t>
            </w: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Indebtedness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indebtedness under our unsecured debt at December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December 31, 2025</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07"/>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(dollars in thousands)</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Balance: </w:t>
            </w:r>
            <w:r>
              <w:rPr>
                <w:rFonts w:ascii="Times New Roman" w:cs="Times New Roman" w:eastAsia="Times New Roman" w:hAnsi="Times New Roman"/>
                <w:sz w:val="16"/>
                <w:szCs w:val="16"/>
                <w:color w:val="auto"/>
              </w:rPr>
              <w:t>(a)</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rate (b) (c)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2,385,934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2,123,610</w:t>
            </w:r>
          </w:p>
        </w:tc>
      </w:tr>
      <w:tr>
        <w:trPr>
          <w:trHeight w:val="21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Variable rate (d)</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178,014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102,734</w:t>
            </w:r>
          </w:p>
        </w:tc>
      </w:tr>
      <w:tr>
        <w:trPr>
          <w:trHeight w:val="219"/>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2,563,948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2,226,344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Percent of Total Debt:</w:t>
            </w:r>
          </w:p>
        </w:tc>
        <w:tc>
          <w:tcPr>
            <w:tcW w:w="1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95.4 %</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Weighted-average interest rate at period end:</w:t>
            </w: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0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Weighted-average maturity in years: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unpaid principal and does not reflect premium/discount or deferred financing costs.</w:t>
      </w:r>
    </w:p>
    <w:p>
      <w:pPr>
        <w:spacing w:after="0" w:line="55" w:lineRule="exact"/>
        <w:rPr>
          <w:rFonts w:ascii="Times New Roman" w:cs="Times New Roman" w:eastAsia="Times New Roman" w:hAnsi="Times New Roman"/>
          <w:sz w:val="14"/>
          <w:szCs w:val="14"/>
          <w:color w:val="auto"/>
        </w:rPr>
      </w:pPr>
    </w:p>
    <w:p>
      <w:pPr>
        <w:ind w:left="340" w:hanging="332"/>
        <w:spacing w:after="0" w:line="301"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23, 2022, the unsecured term loan of $250.0 million was swapped to a fixed rate. At December 31, 2025, the fixed rate for this instrument was 5.41% and matures on June 30, 2027. The effective date of the swap was January 31, 2023.</w:t>
      </w:r>
    </w:p>
    <w:p>
      <w:pPr>
        <w:spacing w:after="0" w:line="1" w:lineRule="exact"/>
        <w:rPr>
          <w:rFonts w:ascii="Times New Roman" w:cs="Times New Roman" w:eastAsia="Times New Roman" w:hAnsi="Times New Roman"/>
          <w:sz w:val="14"/>
          <w:szCs w:val="14"/>
          <w:color w:val="auto"/>
        </w:rPr>
      </w:pPr>
    </w:p>
    <w:p>
      <w:pPr>
        <w:ind w:left="340" w:right="20" w:hanging="332"/>
        <w:spacing w:after="0" w:line="301"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16, 2024, the Trust Preferred I - Indenture IA was swapped to a fixed rate at 5.14% for the period from March 30, 2024 to December 30, 2026 and Trust Preferred I - Indenture IB and Trust Preferred II - Indenture II were swapped to a fixed rate at 5.24% for the period from January 30, 2024 to January 30, 2027.</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consolidated the $178 million construction loan as a result of the recapitalization of 3025 JFK joint venture during the fourth quarter of 2025. The construction loan has a stated interest rate of SOFR + 3.6%. On July 22, 2025, the Company entered into an interest rate cap agreement of 3% on the loan. With the interest rate cap in-place, the maximum interest rate due is 6.60%.</w:t>
      </w:r>
    </w:p>
    <w:p>
      <w:pPr>
        <w:spacing w:after="0" w:line="2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Scheduled principal payments and related weighted average annual effective interest rates for our debt as of December 31, 2025 were as follows (dollars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Weighted Average Interest Rate</w:t>
            </w:r>
          </w:p>
        </w:tc>
      </w:tr>
      <w:tr>
        <w:trPr>
          <w:trHeight w:val="243"/>
        </w:trPr>
        <w:tc>
          <w:tcPr>
            <w:tcW w:w="65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tcPr>
          <w:p>
            <w:pPr>
              <w:spacing w:after="0"/>
              <w:rPr>
                <w:sz w:val="21"/>
                <w:szCs w:val="21"/>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maturities</w:t>
            </w:r>
          </w:p>
        </w:tc>
        <w:tc>
          <w:tcPr>
            <w:tcW w:w="23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of Maturing Debt</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178,014</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78,610</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57,324</w:t>
            </w:r>
          </w:p>
        </w:tc>
        <w:tc>
          <w:tcPr>
            <w:tcW w:w="120" w:type="dxa"/>
            <w:vAlign w:val="bottom"/>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3"/>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2,563,948</w:t>
            </w:r>
          </w:p>
        </w:tc>
        <w:tc>
          <w:tcPr>
            <w:tcW w:w="12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1"/>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Unsecured Debt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Partnership is the issuer of our unsecured notes which are fully and unconditionally guaranteed by the Parent Company. The indenture under which the Operating Partnership issued its unsecured notes contains financial covenants, including: (i) a leverage ratio not to exceed 60%; (ii) a secured debt leverage ratio not to exceed 40%; (iii) a debt service coverage ratio of greater than 1.5 to 1.0; and (iv) an unencumbered asset value of not less than 150% of unsecured debt. The Operating Partnership was in compliance with all covenants as of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 documents of the Parent Company and Operating Partnership do not limit the amount or form of indebtedness that the Operating Partnership may incur, and its policies on debt incurrence are solely within the discretion of the Parent Company’s Board of Trustees, subject to the financial covenants in the Unsecured Credit Facility, the indenture for our unsecured notes and our other credit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maintain its qualification as a REIT, the Parent Company is required to, among other things, pay dividends to its shareholders of at least 90% of its REIT taxable income. During the year ended December 31, 2025, the Parent Company paid dividends in excess of the 90% criterion. See Note 12 “Beneficiaries' Equity of the Parent Company,” to our Consolidated Financial Statements for further information related to our dividends declared for the fourth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Inflation and Lease Pass-Through Provisions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our leases are structured as base year or triple net leases which provide for reimbursement billings for operating expense pass-through charges, real estate tax and insurance reimbursements on a per square-foot basis, or in some cases, annual reimbursement of operating expenses above certain per square-foot allowances. In addition, as of December 31, 2025, approximately 97% of our leases (as a percentage of the aggregate net rentable square feet of our wholly-owned portfolio) contained annual rent escalations that are either fixed (generally ranging from 2.0% to 3.0% per lease year) or indexed based on a consumer price index or other indices. We believe such lease provisions mitigate adverse impacts of inflation on our earnings from real estate operations. However, recent inflation and higher interest rates have caused an increase in our borrowing costs, including on our variable rate debt, and on our operating expenses that are not subject to the lease pass-through provisions.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increased inflation, resulting in our Same Store Property Portfolio operating margins decreasing to 63.3% from 63.9% for the twelve months ended December 31, 2025 and 2024, respectively, primarily due to increased property operating expenses. The expense reimbursement provisions in our leases resulted in Same Store Property Portfolio operating expense recovery rates of 52.6% and 52.1% for the twelve months ended December 31,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customary guarantees for certain development projects of our unconsolidated real estate ventures. See Note 19 “Commitments and Contingencies,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our Consolidated Financial Statements for further details on payment guarantees provided on behalf of our real estate ventures.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Schuylkill Yards Project, we entered into a neighborhood engagement program and, as of December 31, 2025, had $4.2 million of future contractual obligations. We are also committed to making additional contributions under the program. We estimate that, as of December 31, 2025, these additional contributions, which are not fixed under the terms of agreement, will be $2.0 million. See Note 19 “Commitments and Contingencies,” to our Consolidated Financial Statements for further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committed to contribute $15.0 million to a newly-formed venture capital fund that invests in early-stage life science companies. As of December 31, 2025 we had funded $4.6 million of the foregoing commitment.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September 2004 acquisition of a portfolio of properties (which we refer to as the “TRC acquisition”), we acquired our interest in Two Logan Square, a 708,844 square foot office building in Philadelphia, Pennsylvania primarily through ownership of a second and third mortgage secured by this property. This property is consolidated, as the borrower is a VIE and we, through our ownership of the second and third mortgages, are the primary beneficiary. On October 21,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we also acquired the $79.8 million first mortgage on the property from the third-party mortgage lender pursuant to an agreement with certain of the former owners. Under the agreement, we have agreed to not take title to Two Logan until the earlier of June 2026 or the occurrence of certain events related to the ownership interests of certain former owners. If we were to sell the restricted property before the expiration of the restricted period in a non-exempt transaction, we may be required to make significant payments to certain of the former owners of Two Logan Square on account of tax liabilities attributed to them. Additionally, we will be required to pay these certain former owners an amount estimated at approximately $0.6 million to redeem their residual interest in the fee owner of this property. The $0.6 million payment is included within “Other liabilities” on the consolidated balance sheets.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acquisition of properties, from time to time in tax-deferred transactions, we have agreed to provide certain of the prior owners of the acquired properties the right to guarantee our indebtedness. If we were to seek to repay the indebtedness guaranteed by the prior owner before the expiration of the applicable agreement, we would be required to provide the prior owner an opportunity to guaranty qualifying replacement debt. These debt maintenance agreements may limit our ability to refinance indebtedness on terms favorable to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invest in properties and regularly incur capital expenditures in the ordinary course of business to maintain the properties. We believe that such expenditures enhance our competitiveness. We also enter into construction, utility and service contracts in the ordinary course of its business which may extend beyond one year. These contracts typically provide for cancellation with insignificant or no cancellation penalties.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during construction undertaken by real estate ventures we have provided, and expect to continue to provide, cost overrun, and completion guarantees, with rights of contribution among partners in ventures, as well as customary environmental indemnities and guarantees of customary exceptions to nonrecourse provisions in loan agreements. See Note 19 “Commitments and Contingencies,” to our Consolidated Financial Statements for further details on payment guarantees provided on the behalf of real estate ventures.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and Sensitivity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analysis below presents the sensitivity of the market value of the Operating Partnership’s financial instruments to selected changes in market rates. The range of changes chosen reflects its view of changes which are reasonably possible over a one-year period. Market values are the present value of projected future cash flows based on the market rates chosen.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financial instruments consist of both fixed and variable rate debt. As of December 31, 2025, our consolidated debt consisted of (i) unsecured notes with an outstanding principal balance of $2,000.0 million, all of which are fixed rate borrowings, (ii) variable rate debt consisting of trust preferred securities that have been swapped to fixed rates with an outstanding principal balance of $78.6 million, (iii) a $600.0 million Credit Facility with no outstanding borrowings, (iv) a secured C-PACE loan for the property at 3151 Market with an outstanding principal balance of $57.3 million that has a fixed interest rate, (v) a construction loan for the property at 3025 JFK with an outstanding balance of $178.0 million that has an interest rate cap and (v) one unsecured term loan of $250.0 million. The $250.0 million unsecured term loan has been swapped to a fixed rate. All financial instruments were entered into for other than trading purposes and the net market value of these financial instruments is referred to as the net financial position. Changes in interest rates have different impacts on the fixed and variable rate portions of our debt portfolio. A change in interest rates on the fixed portion of the debt portfolio impacts the net financial instrument position, but has no impact on interest incurred or cash flows. A change in interest rates on the variable portion of the debt portfolio impacts the interest incurred and cash flows, but does not impact the net financial instrument position.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based on prevailing interest rates and credit spreads, the fair value of our unsecured notes was $2,027.6 million. For sensitivity purposes, a 100 basis point change in the discount rate equates to a change in the total fair value of our debt of approximately $20.0 million at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or as the need arises, we use derivative instruments to manage interest rate risk exposures and not for speculative or trading purposes. The total outstanding principal balance of our variable rate debt was approximately $506.6 million as of December 31, 2025. The total fair value of our variable rate debt was approximately $501.5 million at December 31, 2025. For sensitivity purposes, if market rates of interest increase by 100 basis points the fair value of our variable rate debt would decrease by approximately $9.5 million at December 31, 2025. If market rates of interest decrease by 100 basis points, the fair value of our outstanding variable rate debt would increase by approximately $10.0 million at December 31, 2025.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Funds from Operations (FFO)</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revised definition of FFO adopted by the Board of Governors of the National Association of Real Estate Investment Trusts (“NAREIT”), we calculate FFO by adjusting net income/(loss) attributable to common unit holders (computed in accordance with GAAP) for gains (or losses) from sales of properties, impairment losses on depreciable consolidated real estate, impairment losses on investments in unconsolidated real estate ventures driven by a measurable decrease in the fair value of depreciable real estate held by the unconsolidated real estate ventures, real estate related depreciation and amortization, and after similar adjustments for unconsolidated real estate ventures. Our calculation of FFO includes gains from sale of undepreciated real estate and other assets, considered incidental to our main business, to third parties or unconsolidated real estate ventures. FFO is a non-GAAP financial measure. We believe that the use of FFO combined with the required GAAP presentations has been beneficial in improving the understanding of operating results of REITs among the investing public and making comparisons of REITs’ operating results more meaningful. We consider FFO to be a useful measure for reviewing comparative operating and financial performance because, by excluding property impairments, gains or losses related to sales of previously depreciated operating real estate assets and real estate depreciation and amortization, FFO can help the investing public compare the operating performance of a company’s real estate between periods or as compared to other companies. Our computation of FFO may not be comparable to FFO reported by other REITs or real estate companies that do not define the term in accordance with the current NAREIT definition or that interpret the current NAREIT definition differently.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net income, as defined by GAAP, to be the most comparable earnings measure to FFO. While FFO and FFO per unit are relevant and widely used measures of operating performance of REITs, FFO does not represent cash flow from operations or net income as defined by GAAP and should not be considered as alternatives to those measures in evaluating our liquidity or operating performance. We believe that to further understand our performance, FFO should be compared with our reported net income/(loss) attributable to common unit holders and considered in addition to cash flows in accordance with GAAP, as presented in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attributable to common unitholders to FFO for the years ended December 31,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57"/>
        </w:trPr>
        <w:tc>
          <w:tcPr>
            <w:tcW w:w="8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gridSpan w:val="4"/>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(amounts in thousands, except share</w:t>
            </w:r>
          </w:p>
        </w:tc>
      </w:tr>
      <w:tr>
        <w:trPr>
          <w:trHeight w:val="213"/>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color w:val="auto"/>
              </w:rPr>
              <w:t>information)</w:t>
            </w:r>
          </w:p>
        </w:tc>
        <w:tc>
          <w:tcPr>
            <w:tcW w:w="1000" w:type="dxa"/>
            <w:vAlign w:val="bottom"/>
          </w:tcPr>
          <w:p>
            <w:pPr>
              <w:spacing w:after="0"/>
              <w:rPr>
                <w:sz w:val="18"/>
                <w:szCs w:val="18"/>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common unitholders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(180,015)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(197,670)</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allocated to unvested restricted unitholders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loss on real estate venture transactions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(63,696)</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on disposition of real estate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impairment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44,101</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Company's share of impairment of an unconsolidated real estate venture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147,184</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 property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154,945</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Leasing costs including acquired intangibles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19,746</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Company’s share of unconsolidated real estate ventures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47,013</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Partners’ share of consolidated real estate ventures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Funds from operations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94,598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150,495</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Funds from operations allocable to unvested restricted shareholders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Funds from operations available to common share and unit holders (FFO)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93,386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148,871</w:t>
            </w:r>
          </w:p>
        </w:tc>
      </w:tr>
      <w:tr>
        <w:trPr>
          <w:trHeight w:val="21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shares/units outstanding — basic (a)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173,979,997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173,042,591</w:t>
            </w:r>
          </w:p>
        </w:tc>
      </w:tr>
      <w:tr>
        <w:trPr>
          <w:trHeight w:val="21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shares/units outstanding — fully diluted (a)</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180,256,697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175,969,844</w:t>
            </w:r>
          </w:p>
        </w:tc>
      </w:tr>
    </w:tbl>
    <w:p>
      <w:pPr>
        <w:spacing w:after="0" w:line="180"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common shares and partnership units outstanding through the years ended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in “Management’s Discussion and Analysis of Financial Condition and Results of Operations,” included in Item 7 herein.</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and supplementary financial data of the Parent Company and the Operating Partnership and the reports thereon of PricewaterhouseCoopers LLP, an independent registered public accounting firm, with respect thereto, are listed under Items 15(a) and 15(b) and filed as part of this report. See Item 15., “Exhibits and Financial Statement Schedules.”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(Parent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Regarding the Effectiveness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Parent Company’s management, including its principal executive officer and principal financial officer, the Parent Company’s management conducted an evaluation of its disclosure controls and procedures, as such term is defined under Rule 13a-15(e) promulgated under the Securities Exchange Act of 1934, as amended (the “Exchange Act”). Based on this evaluation, the principal executive officer and the principal financial officer of the Parent Company concluded that the Parent Company’s disclosure controls and procedures were effective as of the end of the period covered by this annual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management of the Parent Company is responsible for establishing and maintaining adequate internal control over financial reporting, as such term is defined in Exchange Act Rule 13a-15(f).</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the Parent Company’s management, including its principal executive officer and principal financial officer, the Parent Company’s management conducted an evaluation of the effectiveness of the Parent Company’s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evaluation under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the Parent Company’s management concluded that the Parent Company’s internal control over financial reporting was effective as of December 31, 2025.</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Parent Company’s internal control over financial reporting as of December 31, 2025 has been audited by PricewaterhouseCoopers LLP, an independent registered public accounting firm, as stated in its report that is included herein.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Parent Company’s internal control over financial reporting (as such term is defined in Rules 13a-15(f) and 15d-15(f) under the Exchange Act) during the fourth fiscal quarter to which this report relates that have materially affected, or are reasonably likely to materially affect, the Parent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(Operating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Regarding the Effectiveness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the Operating Partnership’s management, including its principal executive officer and principal financial officer, the Operating Partnership’s management conducted an evaluation of its disclosure controls and procedures, as such term is defined under Rule 13a-15(e) promulgated under the Exchange Act. Based on this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evaluation, the principal executive officer and the principal financial officer of Operating Partnership concluded that the Operating Partnership’s disclosure controls and procedures were effective as of the end of the period covered by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management of the Operating Partnership is responsible for establishing and maintaining adequate internal control over financial reporting, as such term is defined in Exchange Act Rule 13a-15(f).</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the Operating Partnership’s management, including its principal executive officer and principal financial officer, the Operating Partnership’s management conducted an evaluation of the effectiveness of the Operating Partnership’s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evaluation under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the Operating Partnership’s management concluded that the Operating Partnership’s internal control over financial reporting was effective as of December 31, 2025.</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Operating Partnership’s internal control over financial reporting as of December 31, 2025 has been audited by PricewaterhouseCoopers LLP, an independent registered public accounting firm, as stated in its report that is included herein.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Operating Partnership’s internal control over financial reporting (as such term is defined in Rules 13a-15(f) and 15d-15(f) under the Exchange Act) during the fourth fiscal quarter to which this report relates that have materially affected, or are reasonably likely to materially affect, the Operating Partnership’s internal control over financial reporting.</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trustees or officers (as defined in Rule 16a-1(f) of the Securities Exchange Act of 1934) adopted, terminated or modified a Rule 10b5-1 trading arrangement or non-Rule 10b5-1 trading arrangement (as such terms are defined in Item 408 of Regulation S-K of the Securities Act of 1933). During the three months ended December 31, 2025, the Company did not adopt, terminate or modify a Rule 10b5-1 trading arrangement.</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PART III</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the Company’s securities by directors, officers, and employees, that are reasonably designed to promote compliance with insider trading laws, rules and regulations, and the listing standards applicable to the Company (the “Insider Trading Policy”). The Company’s Insider Trading Policy is filed as Exhibit 19.1 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to the Company’s definitive proxy statement to be filed with respect to its 2026 Annual Meeting of Shareholders.</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to the Company’s definitive proxy statement to be filed with respect to its 2026 Annual Meeting of Shareholders.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to the Company’s definitive proxy statement to be filed with respect to its 2026 Annual Meeting of Shareholders.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to the Company’s definitive proxy statement to be filed with respect to its 2026 Annual Meeting of Shareholders.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to the Company’s definitive proxy statement to be filed with respect to its 2026 Annual Meeting of Shareholders.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PART IV</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3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Schedules of Brandywine Realty Trust</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Schedules of Brandywine Operating Partnership</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and schedules of the Parent Company and the Operating Partnership listed below are filed as part of this report on the pages indicated.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2"/>
        </w:trPr>
        <w:tc>
          <w:tcPr>
            <w:tcW w:w="1054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(Brandywine Realty Trust) (PCAOB ID No</w:t>
            </w:r>
            <w:r>
              <w:rPr>
                <w:rFonts w:ascii="Times New Roman" w:cs="Times New Roman" w:eastAsia="Times New Roman" w:hAnsi="Times New Roman"/>
                <w:sz w:val="18"/>
                <w:szCs w:val="18"/>
                <w:color w:val="3051F2"/>
              </w:rPr>
              <w:t>. 238)</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(Brandywine Operating Partnership, L.P.) (PCAOB ID N</w:t>
            </w:r>
            <w:r>
              <w:rPr>
                <w:rFonts w:ascii="Times New Roman" w:cs="Times New Roman" w:eastAsia="Times New Roman" w:hAnsi="Times New Roman"/>
                <w:sz w:val="18"/>
                <w:szCs w:val="18"/>
                <w:color w:val="3051F2"/>
              </w:rPr>
              <w:t>o. 238)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18"/>
        </w:trPr>
        <w:tc>
          <w:tcPr>
            <w:tcW w:w="7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3051F2"/>
              </w:rPr>
              <w:t>Glossary</w:t>
            </w:r>
          </w:p>
        </w:tc>
        <w:tc>
          <w:tcPr>
            <w:tcW w:w="40" w:type="dxa"/>
            <w:vAlign w:val="bottom"/>
          </w:tcPr>
          <w:p>
            <w:pPr>
              <w:spacing w:after="0"/>
              <w:rPr>
                <w:sz w:val="24"/>
                <w:szCs w:val="24"/>
                <w:color w:val="auto"/>
              </w:rPr>
            </w:pPr>
          </w:p>
        </w:tc>
        <w:tc>
          <w:tcPr>
            <w:tcW w:w="1080" w:type="dxa"/>
            <w:vAlign w:val="bottom"/>
            <w:tcBorders>
              <w:top w:val="single" w:sz="8" w:color="0000FF"/>
            </w:tcBorders>
            <w:gridSpan w:val="7"/>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16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640" w:type="dxa"/>
            <w:vAlign w:val="bottom"/>
            <w:shd w:val="clear" w:color="auto" w:fill="3051F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Financial Statements of Brandywine Realty Trust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880" w:type="dxa"/>
            <w:vAlign w:val="bottom"/>
            <w:gridSpan w:val="17"/>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63"/>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2580" w:type="dxa"/>
            <w:vAlign w:val="bottom"/>
            <w:gridSpan w:val="2"/>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270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Beneficiaries’ Equity for the Years Ended December 31, 2025, 2024 and 2023</w:t>
            </w:r>
          </w:p>
        </w:tc>
        <w:tc>
          <w:tcPr>
            <w:tcW w:w="28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263"/>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304"/>
        </w:trPr>
        <w:tc>
          <w:tcPr>
            <w:tcW w:w="69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 of Brandywine Operating Partnership, L.P.</w:t>
            </w:r>
          </w:p>
        </w:tc>
        <w:tc>
          <w:tcPr>
            <w:tcW w:w="3580" w:type="dxa"/>
            <w:vAlign w:val="bottom"/>
            <w:gridSpan w:val="13"/>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880" w:type="dxa"/>
            <w:vAlign w:val="bottom"/>
            <w:gridSpan w:val="17"/>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F-14</w:t>
            </w:r>
          </w:p>
        </w:tc>
        <w:tc>
          <w:tcPr>
            <w:tcW w:w="0" w:type="dxa"/>
            <w:vAlign w:val="bottom"/>
          </w:tcPr>
          <w:p>
            <w:pPr>
              <w:spacing w:after="0"/>
              <w:rPr>
                <w:sz w:val="1"/>
                <w:szCs w:val="1"/>
                <w:color w:val="auto"/>
              </w:rPr>
            </w:pPr>
          </w:p>
        </w:tc>
      </w:tr>
      <w:tr>
        <w:trPr>
          <w:trHeight w:val="264"/>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F-15</w:t>
            </w:r>
          </w:p>
        </w:tc>
        <w:tc>
          <w:tcPr>
            <w:tcW w:w="0" w:type="dxa"/>
            <w:vAlign w:val="bottom"/>
          </w:tcPr>
          <w:p>
            <w:pPr>
              <w:spacing w:after="0"/>
              <w:rPr>
                <w:sz w:val="1"/>
                <w:szCs w:val="1"/>
                <w:color w:val="auto"/>
              </w:rPr>
            </w:pPr>
          </w:p>
        </w:tc>
      </w:tr>
      <w:tr>
        <w:trPr>
          <w:trHeight w:val="20"/>
        </w:trPr>
        <w:tc>
          <w:tcPr>
            <w:tcW w:w="2580" w:type="dxa"/>
            <w:vAlign w:val="bottom"/>
            <w:gridSpan w:val="2"/>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270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F-16</w:t>
            </w:r>
          </w:p>
        </w:tc>
        <w:tc>
          <w:tcPr>
            <w:tcW w:w="0" w:type="dxa"/>
            <w:vAlign w:val="bottom"/>
          </w:tcPr>
          <w:p>
            <w:pPr>
              <w:spacing w:after="0"/>
              <w:rPr>
                <w:sz w:val="1"/>
                <w:szCs w:val="1"/>
                <w:color w:val="auto"/>
              </w:rPr>
            </w:pPr>
          </w:p>
        </w:tc>
      </w:tr>
      <w:tr>
        <w:trPr>
          <w:trHeight w:val="264"/>
        </w:trPr>
        <w:tc>
          <w:tcPr>
            <w:tcW w:w="7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Partners’ Equity for the Years Ended December 31, 2025, 2024 and 2023</w:t>
            </w:r>
          </w:p>
        </w:tc>
        <w:tc>
          <w:tcPr>
            <w:tcW w:w="324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r>
        <w:trPr>
          <w:trHeight w:val="264"/>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F-16</w:t>
            </w:r>
          </w:p>
        </w:tc>
        <w:tc>
          <w:tcPr>
            <w:tcW w:w="0" w:type="dxa"/>
            <w:vAlign w:val="bottom"/>
          </w:tcPr>
          <w:p>
            <w:pPr>
              <w:spacing w:after="0"/>
              <w:rPr>
                <w:sz w:val="1"/>
                <w:szCs w:val="1"/>
                <w:color w:val="auto"/>
              </w:rPr>
            </w:pPr>
          </w:p>
        </w:tc>
      </w:tr>
      <w:tr>
        <w:trPr>
          <w:trHeight w:val="20"/>
        </w:trPr>
        <w:tc>
          <w:tcPr>
            <w:tcW w:w="2580" w:type="dxa"/>
            <w:vAlign w:val="bottom"/>
            <w:gridSpan w:val="2"/>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(Brandywine Realty Trust and Brandywine Operating Partnership, L.P.)</w:t>
            </w:r>
          </w:p>
        </w:tc>
        <w:tc>
          <w:tcPr>
            <w:tcW w:w="2180" w:type="dxa"/>
            <w:vAlign w:val="bottom"/>
            <w:gridSpan w:val="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F-18</w:t>
            </w:r>
          </w:p>
        </w:tc>
        <w:tc>
          <w:tcPr>
            <w:tcW w:w="0" w:type="dxa"/>
            <w:vAlign w:val="bottom"/>
          </w:tcPr>
          <w:p>
            <w:pPr>
              <w:spacing w:after="0"/>
              <w:rPr>
                <w:sz w:val="1"/>
                <w:szCs w:val="1"/>
                <w:color w:val="auto"/>
              </w:rPr>
            </w:pPr>
          </w:p>
        </w:tc>
      </w:tr>
      <w:tr>
        <w:trPr>
          <w:trHeight w:val="264"/>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(Brandywine Realty Trust and Brandywine Operating Partnership, L.P.) for the years ended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F-59</w:t>
            </w:r>
          </w:p>
        </w:tc>
        <w:tc>
          <w:tcPr>
            <w:tcW w:w="0" w:type="dxa"/>
            <w:vAlign w:val="bottom"/>
          </w:tcPr>
          <w:p>
            <w:pPr>
              <w:spacing w:after="0"/>
              <w:rPr>
                <w:sz w:val="1"/>
                <w:szCs w:val="1"/>
                <w:color w:val="auto"/>
              </w:rPr>
            </w:pPr>
          </w:p>
        </w:tc>
      </w:tr>
      <w:tr>
        <w:trPr>
          <w:trHeight w:val="155"/>
        </w:trPr>
        <w:tc>
          <w:tcPr>
            <w:tcW w:w="25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December 31, 2025, 2024 and 2023</w:t>
            </w:r>
          </w:p>
        </w:tc>
        <w:tc>
          <w:tcPr>
            <w:tcW w:w="7680" w:type="dxa"/>
            <w:vAlign w:val="bottom"/>
            <w:tcBorders>
              <w:top w:val="single" w:sz="8" w:color="0000FF"/>
            </w:tcBorders>
            <w:gridSpan w:val="17"/>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Schedule III — Real Estate and Accumulated Depreciation (Brandywine Realty Trust and Brandywine Operating Partnership, L.P.) at December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F-60</w:t>
            </w:r>
          </w:p>
        </w:tc>
        <w:tc>
          <w:tcPr>
            <w:tcW w:w="0" w:type="dxa"/>
            <w:vAlign w:val="bottom"/>
          </w:tcPr>
          <w:p>
            <w:pPr>
              <w:spacing w:after="0"/>
              <w:rPr>
                <w:sz w:val="1"/>
                <w:szCs w:val="1"/>
                <w:color w:val="auto"/>
              </w:rPr>
            </w:pPr>
          </w:p>
        </w:tc>
      </w:tr>
      <w:tr>
        <w:trPr>
          <w:trHeight w:val="155"/>
        </w:trPr>
        <w:tc>
          <w:tcPr>
            <w:tcW w:w="10420" w:type="dxa"/>
            <w:vAlign w:val="bottom"/>
            <w:tcBorders>
              <w:top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6"/>
                <w:szCs w:val="16"/>
                <w:color w:val="0000FF"/>
              </w:rPr>
              <w:t>31, 2025 with reconciliations for the years ended December 31, 2025, 2024 and 2023</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0"/>
        </w:trPr>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Exhibits Nos.</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20" w:type="dxa"/>
            <w:vAlign w:val="bottom"/>
            <w:gridSpan w:val="36"/>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77"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40" w:type="dxa"/>
            <w:vAlign w:val="bottom"/>
            <w:gridSpan w:val="38"/>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Articles of Amendment and Restatement of Declaration of Trust of Brandywine Realty Trust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(previously filed as an exhibit to Brandywine Realty Trust's Form 8-K filed on May 29, 2018</w:t>
              </w:r>
            </w:hyperlink>
          </w:p>
        </w:tc>
        <w:tc>
          <w:tcPr>
            <w:tcW w:w="740" w:type="dxa"/>
            <w:vAlign w:val="bottom"/>
            <w:gridSpan w:val="24"/>
          </w:tcPr>
          <w:p>
            <w:pPr>
              <w:ind w:left="60"/>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incorporated herein by reference)</w:t>
              </w:r>
            </w:hyperlink>
          </w:p>
        </w:tc>
        <w:tc>
          <w:tcPr>
            <w:tcW w:w="46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Articles Supplementary relating to opt-out of Maryland Unsolicited Takeover Act, filed with the State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Department of Assessments and Taxation of Maryland on March 2, 2018 (previously filed as 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Exhibit to Brandywine Realty Trust’s Form 8-K filed on March 6, 2018 and incorporated herein</w:t>
              </w:r>
            </w:hyperlink>
          </w:p>
        </w:tc>
        <w:tc>
          <w:tcPr>
            <w:tcW w:w="540" w:type="dxa"/>
            <w:vAlign w:val="bottom"/>
            <w:gridSpan w:val="22"/>
          </w:tcPr>
          <w:p>
            <w:pPr>
              <w:ind w:left="60"/>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reference)</w:t>
              </w:r>
            </w:hyperlink>
          </w:p>
        </w:tc>
        <w:tc>
          <w:tcPr>
            <w:tcW w:w="640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Preferred Share Reclassification Articles Supplementary filed with the State Department of</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Assessments and Taxation of Maryland on March 2, 2018 (previously filed as an Exhibit to</w:t>
              </w:r>
            </w:hyperlink>
          </w:p>
        </w:tc>
        <w:tc>
          <w:tcPr>
            <w:tcW w:w="20" w:type="dxa"/>
            <w:vAlign w:val="bottom"/>
            <w:tcBorders>
              <w:bottom w:val="single" w:sz="8" w:color="0000FF"/>
            </w:tcBorders>
          </w:tcPr>
          <w:p>
            <w:pPr>
              <w:spacing w:after="0"/>
              <w:rPr>
                <w:sz w:val="13"/>
                <w:szCs w:val="13"/>
                <w:color w:val="auto"/>
              </w:rPr>
            </w:pPr>
          </w:p>
        </w:tc>
        <w:tc>
          <w:tcPr>
            <w:tcW w:w="600" w:type="dxa"/>
            <w:vAlign w:val="bottom"/>
            <w:gridSpan w:val="13"/>
            <w:vMerge w:val="restart"/>
          </w:tcPr>
          <w:p>
            <w:pPr>
              <w:spacing w:after="0"/>
              <w:rPr>
                <w:rFonts w:ascii="Times New Roman" w:cs="Times New Roman" w:eastAsia="Times New Roman" w:hAnsi="Times New Roman"/>
                <w:sz w:val="18"/>
                <w:szCs w:val="18"/>
                <w:color w:val="0000FF"/>
                <w:w w:val="79"/>
              </w:rPr>
            </w:pPr>
            <w:hyperlink r:id="rId77">
              <w:r>
                <w:rPr>
                  <w:rFonts w:ascii="Times New Roman" w:cs="Times New Roman" w:eastAsia="Times New Roman" w:hAnsi="Times New Roman"/>
                  <w:sz w:val="18"/>
                  <w:szCs w:val="18"/>
                  <w:color w:val="0000FF"/>
                  <w:w w:val="79"/>
                </w:rPr>
                <w:t>reference)</w:t>
              </w:r>
            </w:hyperlink>
          </w:p>
        </w:tc>
        <w:tc>
          <w:tcPr>
            <w:tcW w:w="240" w:type="dxa"/>
            <w:vAlign w:val="bottom"/>
            <w:gridSpan w:val="1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Brandywine Realty Trust’s Form 8-K filed on March 6, 2018 and incorporated herein by</w:t>
              </w:r>
            </w:hyperlink>
          </w:p>
        </w:tc>
        <w:tc>
          <w:tcPr>
            <w:tcW w:w="600" w:type="dxa"/>
            <w:vAlign w:val="bottom"/>
            <w:tcBorders>
              <w:bottom w:val="single" w:sz="8" w:color="0000FF"/>
            </w:tcBorders>
            <w:gridSpan w:val="13"/>
            <w:vMerge w:val="continue"/>
          </w:tcPr>
          <w:p>
            <w:pPr>
              <w:spacing w:after="0"/>
              <w:rPr>
                <w:sz w:val="13"/>
                <w:szCs w:val="13"/>
                <w:color w:val="auto"/>
              </w:rPr>
            </w:pPr>
          </w:p>
        </w:tc>
        <w:tc>
          <w:tcPr>
            <w:tcW w:w="24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Agreement of Limited Partnership of Brandywine Operating Partnership, L.P.</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(the “Operating Partnership”) (previously filed as an exhibit to Brandywine Realty Trust’s Form 8-K</w:t>
              </w:r>
            </w:hyperlink>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dated December 17,1997 and incorporated herein by reference)</w:t>
              </w:r>
            </w:hyperlink>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First Amendment to Amended and Restated Agreement of Limited Partnership of Brandywine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Operating Partnership, L.P. (previously filed as an exhibit to Brandywine Realty Trust’s Form</w:t>
              </w:r>
            </w:hyperlink>
          </w:p>
        </w:tc>
        <w:tc>
          <w:tcPr>
            <w:tcW w:w="640" w:type="dxa"/>
            <w:vAlign w:val="bottom"/>
            <w:gridSpan w:val="23"/>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8-K</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dated December 17,1997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Second Amendment to the Amended and Restated Agreement of Limited Partnership Agreement of</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Brandywine Operating Partnership, L.P. (previously filed as an exhibit to Brandywine Realty Trust’s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gridSpan w:val="30"/>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8-K dated April 13, 1998 and incorporated herein by reference)</w:t>
              </w:r>
            </w:hyperlink>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Third Amendment to the Amended and Restated Agreement of Limited Partnership of Brandywine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Operating Partnership, L.P. (previously filed as an exhibit to Brandywine Realty Trust's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dated May 14, 1998 and incorporated herein by reference)</w:t>
              </w:r>
            </w:hyperlink>
          </w:p>
        </w:tc>
        <w:tc>
          <w:tcPr>
            <w:tcW w:w="28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Fourth Amendment to the Amended and Restated Agreement of Limited Partnership of Brandywine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Operating Partnership, L.P. (previously filed as an exhibit to Brandywine Realty Trust's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dated October 13, 1998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Fifth Amendment to the Amended and Restated Agreement of Limited Partnership of Brandywine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Operating Partnership, L.P. (previously filed as an exhibit to Brandywine Realty Trust's Form 8-K</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dated October 13, 1998 and incorporated herein by reference)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Sixth Amendment to the Amended and Restated Agreement of Limited Partnership of Brandywine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Operating Partnership, L.P. (previously filed as an exhibit to Brandywine Realty Trust's Form 8-K</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dated October 13, 1998 and incorporated herein by reference)</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Seventh Amendment to the Amended and Restated Agreement of Limited Partnership of Brandywine</w:t>
              </w:r>
            </w:hyperlink>
          </w:p>
        </w:tc>
        <w:tc>
          <w:tcPr>
            <w:tcW w:w="1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gridSpan w:val="38"/>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Operating Partnership, L.P. (previously filed as an exhibit to Brandywine Realty Trust's Form 10-K for</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the fiscal year ended December 31, 2003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Eighth Amendment to the Amended and Restated Agreement of Limited Partnership of Brandywine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Operating Partnership, L.P. (previously filed as an exhibit to Brandywine Realty Trust's Form 10-K</w:t>
              </w:r>
            </w:hyperlink>
          </w:p>
        </w:tc>
        <w:tc>
          <w:tcPr>
            <w:tcW w:w="180" w:type="dxa"/>
            <w:vAlign w:val="bottom"/>
            <w:gridSpan w:val="10"/>
          </w:tcPr>
          <w:p>
            <w:pPr>
              <w:jc w:val="right"/>
              <w:ind w:right="40"/>
              <w:spacing w:after="0"/>
              <w:rPr>
                <w:rFonts w:ascii="Times New Roman" w:cs="Times New Roman" w:eastAsia="Times New Roman" w:hAnsi="Times New Roman"/>
                <w:sz w:val="13"/>
                <w:szCs w:val="13"/>
                <w:color w:val="0000FF"/>
                <w:w w:val="78"/>
              </w:rPr>
            </w:pPr>
            <w:hyperlink r:id="rId83">
              <w:r>
                <w:rPr>
                  <w:rFonts w:ascii="Times New Roman" w:cs="Times New Roman" w:eastAsia="Times New Roman" w:hAnsi="Times New Roman"/>
                  <w:sz w:val="13"/>
                  <w:szCs w:val="13"/>
                  <w:color w:val="0000FF"/>
                  <w:w w:val="78"/>
                </w:rPr>
                <w:t>for</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the fiscal year ended December 31, 2003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Ninth Amendment to the Amended and Restated Agreement of Limited Partnership of Brandywine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Operating Partnership, L.P. (previously filed as an exhibit to Brandywine Realty Trust's Form 10-K</w:t>
              </w:r>
            </w:hyperlink>
          </w:p>
        </w:tc>
        <w:tc>
          <w:tcPr>
            <w:tcW w:w="240" w:type="dxa"/>
            <w:vAlign w:val="bottom"/>
            <w:gridSpan w:val="13"/>
          </w:tcPr>
          <w:p>
            <w:pPr>
              <w:jc w:val="right"/>
              <w:ind w:right="40"/>
              <w:spacing w:after="0" w:line="156" w:lineRule="exact"/>
              <w:rPr>
                <w:rFonts w:ascii="Times New Roman" w:cs="Times New Roman" w:eastAsia="Times New Roman" w:hAnsi="Times New Roman"/>
                <w:sz w:val="18"/>
                <w:szCs w:val="18"/>
                <w:color w:val="0000FF"/>
                <w:w w:val="85"/>
              </w:rPr>
            </w:pPr>
            <w:hyperlink r:id="rId84">
              <w:r>
                <w:rPr>
                  <w:rFonts w:ascii="Times New Roman" w:cs="Times New Roman" w:eastAsia="Times New Roman" w:hAnsi="Times New Roman"/>
                  <w:sz w:val="18"/>
                  <w:szCs w:val="18"/>
                  <w:color w:val="0000FF"/>
                  <w:w w:val="85"/>
                </w:rPr>
                <w:t>for</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the fiscal year ended December 31, 2003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Tenth Amendment to the Amended and Restated Agreement of Limited Partnership of Brandywine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Operating Partnership, L.P. (previously filed as an exhibit to Brandywine Realty Trust's Form 10-K</w:t>
              </w:r>
            </w:hyperlink>
          </w:p>
        </w:tc>
        <w:tc>
          <w:tcPr>
            <w:tcW w:w="260" w:type="dxa"/>
            <w:vAlign w:val="bottom"/>
            <w:gridSpan w:val="14"/>
          </w:tcPr>
          <w:p>
            <w:pPr>
              <w:jc w:val="right"/>
              <w:ind w:right="40"/>
              <w:spacing w:after="0" w:line="156" w:lineRule="exact"/>
              <w:rPr>
                <w:rFonts w:ascii="Times New Roman" w:cs="Times New Roman" w:eastAsia="Times New Roman" w:hAnsi="Times New Roman"/>
                <w:sz w:val="18"/>
                <w:szCs w:val="18"/>
                <w:color w:val="0000FF"/>
                <w:w w:val="95"/>
              </w:rPr>
            </w:pPr>
            <w:hyperlink r:id="rId85">
              <w:r>
                <w:rPr>
                  <w:rFonts w:ascii="Times New Roman" w:cs="Times New Roman" w:eastAsia="Times New Roman" w:hAnsi="Times New Roman"/>
                  <w:sz w:val="18"/>
                  <w:szCs w:val="18"/>
                  <w:color w:val="0000FF"/>
                  <w:w w:val="95"/>
                </w:rPr>
                <w:t>for</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the fiscal year ended December 31, 2003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Eleventh Amendment to the Amended and Restated Agreement of Limited Partnership of Brandywine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Operating Partnership, L.P. (previously filed as an exhibit to Brandywine Realty Trust's Form 10-K for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the fiscal year ended December 31, 2003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Twelfth Amendment to the Amended and Restated Agreement of Limited Partnership of Brandywine</w:t>
              </w:r>
            </w:hyperlink>
          </w:p>
        </w:tc>
        <w:tc>
          <w:tcPr>
            <w:tcW w:w="1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gridSpan w:val="38"/>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Operating Partnership, L.P. (previously filed as an exhibit to Brandywine Realty Trust's Form 10-K for</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the fiscal year ended December 31, 2003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gridSpan w:val="16"/>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Thirteenth Amendment to the Amended and Restated Agreement of Limited Partnership of</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gridSpan w:val="16"/>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gridSpan w:val="38"/>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Brandywine Operating Partnership, L.P. (previously filed as an exhibit to Brandywine Realty Trust's</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Form 8-K dated September 21, 2004 and incorporated herein by reference)</w:t>
              </w:r>
            </w:hyperlink>
          </w:p>
        </w:tc>
        <w:tc>
          <w:tcPr>
            <w:tcW w:w="1880" w:type="dxa"/>
            <w:vAlign w:val="bottom"/>
            <w:tcBorders>
              <w:top w:val="single" w:sz="8" w:color="0000FF"/>
            </w:tcBorders>
            <w:gridSpan w:val="21"/>
          </w:tcPr>
          <w:p>
            <w:pPr>
              <w:spacing w:after="0"/>
              <w:rPr>
                <w:sz w:val="13"/>
                <w:szCs w:val="13"/>
                <w:color w:val="auto"/>
              </w:rPr>
            </w:pPr>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Fourteenth Amendment to the Amended and Restated Agreement of Limited Partnership of</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89">
              <w:r>
                <w:rPr>
                  <w:rFonts w:ascii="Times New Roman" w:cs="Times New Roman" w:eastAsia="Times New Roman" w:hAnsi="Times New Roman"/>
                  <w:sz w:val="18"/>
                  <w:szCs w:val="18"/>
                  <w:color w:val="0000FF"/>
                  <w:w w:val="98"/>
                </w:rPr>
                <w:t>Brandywine Operating Partnership, L.P. (previously filed as an exhibit to Brandywine Realty</w:t>
              </w:r>
            </w:hyperlink>
          </w:p>
        </w:tc>
        <w:tc>
          <w:tcPr>
            <w:tcW w:w="820" w:type="dxa"/>
            <w:vAlign w:val="bottom"/>
            <w:gridSpan w:val="25"/>
          </w:tcPr>
          <w:p>
            <w:pPr>
              <w:ind w:left="120"/>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Trust's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8-K dated January 10, 2006 and incorporated herein by reference)</w:t>
              </w:r>
            </w:hyperlink>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220" w:type="dxa"/>
            <w:vAlign w:val="bottom"/>
            <w:gridSpan w:val="2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3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Fifteenth Amendment to the Amended and Restated Agreement of Limited Partnership of Brandywine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Operating Partnership, L.P. (previously filed as an exhibit to Brandywine Realty Trust's Form 8-K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dated August 18, 2006 and incorporated herein by reference)</w:t>
              </w:r>
            </w:hyperlink>
          </w:p>
        </w:tc>
        <w:tc>
          <w:tcPr>
            <w:tcW w:w="3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22"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2"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3.2.17</w:t>
            </w:r>
          </w:p>
        </w:tc>
        <w:tc>
          <w:tcPr>
            <w:tcW w:w="6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Sixteenth Amendment to the Amended and Restated Agreement of Limited Partnership of</w:t>
              </w:r>
            </w:hyperlink>
          </w:p>
        </w:tc>
        <w:tc>
          <w:tcPr>
            <w:tcW w:w="980" w:type="dxa"/>
            <w:vAlign w:val="bottom"/>
            <w:gridSpan w:val="30"/>
          </w:tcPr>
          <w:p>
            <w:pPr>
              <w:spacing w:after="0"/>
              <w:rPr>
                <w:sz w:val="17"/>
                <w:szCs w:val="17"/>
                <w:color w:val="auto"/>
              </w:rPr>
            </w:pPr>
          </w:p>
        </w:tc>
      </w:tr>
      <w:tr>
        <w:trPr>
          <w:trHeight w:val="155"/>
        </w:trPr>
        <w:tc>
          <w:tcPr>
            <w:tcW w:w="1200" w:type="dxa"/>
            <w:vAlign w:val="bottom"/>
          </w:tcPr>
          <w:p>
            <w:pPr>
              <w:spacing w:after="0"/>
              <w:rPr>
                <w:sz w:val="13"/>
                <w:szCs w:val="13"/>
                <w:color w:val="auto"/>
              </w:rPr>
            </w:pPr>
          </w:p>
        </w:tc>
        <w:tc>
          <w:tcPr>
            <w:tcW w:w="7480" w:type="dxa"/>
            <w:vAlign w:val="bottom"/>
            <w:gridSpan w:val="48"/>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Brandywine Operating Partnership, L.P. (previously filed as an exhibit to Brandywine Realty Trust's</w:t>
              </w:r>
            </w:hyperlink>
          </w:p>
        </w:tc>
      </w:tr>
      <w:tr>
        <w:trPr>
          <w:trHeight w:val="156"/>
        </w:trPr>
        <w:tc>
          <w:tcPr>
            <w:tcW w:w="120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Form 8-K dated August 9, 2010 and incorporated herein by reference)</w:t>
              </w:r>
            </w:hyperlink>
          </w:p>
        </w:tc>
        <w:tc>
          <w:tcPr>
            <w:tcW w:w="2160" w:type="dxa"/>
            <w:vAlign w:val="bottom"/>
            <w:tcBorders>
              <w:top w:val="single" w:sz="8" w:color="0000FF"/>
            </w:tcBorders>
            <w:gridSpan w:val="30"/>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3.2.18</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Seventeenth Amendment to the Amended and Restated Agreement of Limited Partnership of</w:t>
              </w:r>
            </w:hyperlink>
          </w:p>
        </w:tc>
      </w:tr>
      <w:tr>
        <w:trPr>
          <w:trHeight w:val="156"/>
        </w:trPr>
        <w:tc>
          <w:tcPr>
            <w:tcW w:w="1200" w:type="dxa"/>
            <w:vAlign w:val="bottom"/>
          </w:tcPr>
          <w:p>
            <w:pPr>
              <w:spacing w:after="0"/>
              <w:rPr>
                <w:sz w:val="13"/>
                <w:szCs w:val="13"/>
                <w:color w:val="auto"/>
              </w:rPr>
            </w:pPr>
          </w:p>
        </w:tc>
        <w:tc>
          <w:tcPr>
            <w:tcW w:w="67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Brandywine Operating Partnership, L.P. (previously filed as an exhibit to Brandywine Realty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6"/>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Trust's</w:t>
              </w:r>
            </w:hyperlink>
          </w:p>
        </w:tc>
      </w:tr>
      <w:tr>
        <w:trPr>
          <w:trHeight w:val="156"/>
        </w:trPr>
        <w:tc>
          <w:tcPr>
            <w:tcW w:w="1200" w:type="dxa"/>
            <w:vAlign w:val="bottom"/>
          </w:tcPr>
          <w:p>
            <w:pPr>
              <w:spacing w:after="0"/>
              <w:rPr>
                <w:sz w:val="13"/>
                <w:szCs w:val="13"/>
                <w:color w:val="auto"/>
              </w:rPr>
            </w:pPr>
          </w:p>
        </w:tc>
        <w:tc>
          <w:tcPr>
            <w:tcW w:w="72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8-K dated April 11, 2012 and incorporated herein by reference)</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3.2.19</w:t>
            </w:r>
          </w:p>
        </w:tc>
        <w:tc>
          <w:tcPr>
            <w:tcW w:w="5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List of partners of Brandywine Operating Partnership, L.P. (filed herewith)</w:t>
            </w:r>
          </w:p>
        </w:tc>
        <w:tc>
          <w:tcPr>
            <w:tcW w:w="2080" w:type="dxa"/>
            <w:vAlign w:val="bottom"/>
            <w:gridSpan w:val="38"/>
          </w:tcPr>
          <w:p>
            <w:pPr>
              <w:spacing w:after="0"/>
              <w:rPr>
                <w:sz w:val="19"/>
                <w:szCs w:val="19"/>
                <w:color w:val="auto"/>
              </w:rPr>
            </w:pP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Bylaws of Brandywine Realty Trust (previously filed as an exhibit to Brandywine Realty Trust’s Form</w:t>
              </w:r>
            </w:hyperlink>
          </w:p>
        </w:tc>
      </w:tr>
      <w:tr>
        <w:trPr>
          <w:trHeight w:val="155"/>
        </w:trPr>
        <w:tc>
          <w:tcPr>
            <w:tcW w:w="1200" w:type="dxa"/>
            <w:vAlign w:val="bottom"/>
          </w:tcPr>
          <w:p>
            <w:pPr>
              <w:spacing w:after="0"/>
              <w:rPr>
                <w:sz w:val="13"/>
                <w:szCs w:val="13"/>
                <w:color w:val="auto"/>
              </w:rPr>
            </w:pPr>
          </w:p>
        </w:tc>
        <w:tc>
          <w:tcPr>
            <w:tcW w:w="7460" w:type="dxa"/>
            <w:vAlign w:val="bottom"/>
            <w:tcBorders>
              <w:top w:val="single" w:sz="8" w:color="0000FF"/>
            </w:tcBorders>
            <w:gridSpan w:val="47"/>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8-K dated May 29, 2018 and incorporated herein by reference)</w:t>
              </w:r>
            </w:hyperlink>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Indenture dated October 22, 2004 by and among Brandywine Operating Partnership, L.P., Brandywine</w:t>
              </w:r>
            </w:hyperlink>
          </w:p>
        </w:tc>
      </w:tr>
      <w:tr>
        <w:trPr>
          <w:trHeight w:val="156"/>
        </w:trPr>
        <w:tc>
          <w:tcPr>
            <w:tcW w:w="1200" w:type="dxa"/>
            <w:vAlign w:val="bottom"/>
          </w:tcPr>
          <w:p>
            <w:pPr>
              <w:spacing w:after="0"/>
              <w:rPr>
                <w:sz w:val="13"/>
                <w:szCs w:val="13"/>
                <w:color w:val="auto"/>
              </w:rPr>
            </w:pPr>
          </w:p>
        </w:tc>
        <w:tc>
          <w:tcPr>
            <w:tcW w:w="7440" w:type="dxa"/>
            <w:vAlign w:val="bottom"/>
            <w:tcBorders>
              <w:top w:val="single" w:sz="8" w:color="0000FF"/>
            </w:tcBorders>
            <w:gridSpan w:val="46"/>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Realty Trust, certain subsidiaries of Brandywine Operating Partnership, L.P. named therein and The</w:t>
              </w:r>
            </w:hyperlink>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72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Bank of New York Mellon, as Trustee (previously filed as an exhibit to Brandywine Realty Trust's</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8-K filed on October 22, 2004 and incorporated herein by reference)</w:t>
              </w:r>
            </w:hyperlink>
          </w:p>
        </w:tc>
        <w:tc>
          <w:tcPr>
            <w:tcW w:w="174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First Supplemental Indenture dated as of May 25, 2005 by and among Brandywine Operating</w:t>
              </w:r>
            </w:hyperlink>
          </w:p>
        </w:tc>
        <w:tc>
          <w:tcPr>
            <w:tcW w:w="740" w:type="dxa"/>
            <w:vAlign w:val="bottom"/>
            <w:gridSpan w:val="26"/>
          </w:tcPr>
          <w:p>
            <w:pPr>
              <w:spacing w:after="0"/>
              <w:rPr>
                <w:sz w:val="18"/>
                <w:szCs w:val="18"/>
                <w:color w:val="auto"/>
              </w:rPr>
            </w:pPr>
          </w:p>
        </w:tc>
      </w:tr>
      <w:tr>
        <w:trPr>
          <w:trHeight w:val="156"/>
        </w:trPr>
        <w:tc>
          <w:tcPr>
            <w:tcW w:w="1200" w:type="dxa"/>
            <w:vAlign w:val="bottom"/>
          </w:tcPr>
          <w:p>
            <w:pPr>
              <w:spacing w:after="0"/>
              <w:rPr>
                <w:sz w:val="13"/>
                <w:szCs w:val="13"/>
                <w:color w:val="auto"/>
              </w:rPr>
            </w:pPr>
          </w:p>
        </w:tc>
        <w:tc>
          <w:tcPr>
            <w:tcW w:w="7480" w:type="dxa"/>
            <w:vAlign w:val="bottom"/>
            <w:gridSpan w:val="48"/>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Partnership, L.P., Brandywine Realty Trust, certain subsidiaries of Brandywine Operating Partnership,</w:t>
              </w:r>
            </w:hyperlink>
          </w:p>
        </w:tc>
      </w:tr>
      <w:tr>
        <w:trPr>
          <w:trHeight w:val="156"/>
        </w:trPr>
        <w:tc>
          <w:tcPr>
            <w:tcW w:w="1200" w:type="dxa"/>
            <w:vAlign w:val="bottom"/>
          </w:tcPr>
          <w:p>
            <w:pPr>
              <w:spacing w:after="0"/>
              <w:rPr>
                <w:sz w:val="13"/>
                <w:szCs w:val="13"/>
                <w:color w:val="auto"/>
              </w:rPr>
            </w:pPr>
          </w:p>
        </w:tc>
        <w:tc>
          <w:tcPr>
            <w:tcW w:w="7400" w:type="dxa"/>
            <w:vAlign w:val="bottom"/>
            <w:tcBorders>
              <w:top w:val="single" w:sz="8" w:color="0000FF"/>
            </w:tcBorders>
            <w:gridSpan w:val="44"/>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L.P. named therein and The Bank of New York Mellon, as Trustee (previously filed as an exhibit to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7180" w:type="dxa"/>
            <w:vAlign w:val="bottom"/>
            <w:tcBorders>
              <w:top w:val="single" w:sz="8" w:color="0000FF"/>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Brandywine Realty Trust's Form 8-K filed on May 26, 2005 and incorporated herein by reference)</w:t>
              </w:r>
            </w:hyperlink>
          </w:p>
        </w:tc>
        <w:tc>
          <w:tcPr>
            <w:tcW w:w="4294967257"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71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Second Supplemental Indenture dated as of October 4, 2006 by and among Brandywine Operating</w:t>
              </w:r>
            </w:hyperlink>
          </w:p>
        </w:tc>
        <w:tc>
          <w:tcPr>
            <w:tcW w:w="300" w:type="dxa"/>
            <w:vAlign w:val="bottom"/>
            <w:gridSpan w:val="14"/>
          </w:tcPr>
          <w:p>
            <w:pPr>
              <w:spacing w:after="0"/>
              <w:rPr>
                <w:sz w:val="18"/>
                <w:szCs w:val="18"/>
                <w:color w:val="auto"/>
              </w:rPr>
            </w:pPr>
          </w:p>
        </w:tc>
      </w:tr>
      <w:tr>
        <w:trPr>
          <w:trHeight w:val="155"/>
        </w:trPr>
        <w:tc>
          <w:tcPr>
            <w:tcW w:w="1200" w:type="dxa"/>
            <w:vAlign w:val="bottom"/>
          </w:tcPr>
          <w:p>
            <w:pPr>
              <w:spacing w:after="0"/>
              <w:rPr>
                <w:sz w:val="13"/>
                <w:szCs w:val="13"/>
                <w:color w:val="auto"/>
              </w:rPr>
            </w:pPr>
          </w:p>
        </w:tc>
        <w:tc>
          <w:tcPr>
            <w:tcW w:w="7480" w:type="dxa"/>
            <w:vAlign w:val="bottom"/>
            <w:gridSpan w:val="48"/>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Partnership, L.P., Brandywine Realty Trust and The Bank of New York Mellon, as Trustee (previously</w:t>
              </w:r>
            </w:hyperlink>
          </w:p>
        </w:tc>
      </w:tr>
      <w:tr>
        <w:trPr>
          <w:trHeight w:val="156"/>
        </w:trPr>
        <w:tc>
          <w:tcPr>
            <w:tcW w:w="1200" w:type="dxa"/>
            <w:vAlign w:val="bottom"/>
          </w:tcPr>
          <w:p>
            <w:pPr>
              <w:spacing w:after="0"/>
              <w:rPr>
                <w:sz w:val="13"/>
                <w:szCs w:val="13"/>
                <w:color w:val="auto"/>
              </w:rPr>
            </w:pPr>
          </w:p>
        </w:tc>
        <w:tc>
          <w:tcPr>
            <w:tcW w:w="742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filed as an exhibit to Brandywine Realty Trust's Form 8-K dated October 4, 2006 and incorporated</w:t>
              </w:r>
            </w:hyperlink>
          </w:p>
        </w:tc>
        <w:tc>
          <w:tcPr>
            <w:tcW w:w="60" w:type="dxa"/>
            <w:vAlign w:val="bottom"/>
            <w:gridSpan w:val="3"/>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herein by reference)</w:t>
              </w:r>
            </w:hyperlink>
          </w:p>
        </w:tc>
        <w:tc>
          <w:tcPr>
            <w:tcW w:w="5720" w:type="dxa"/>
            <w:vAlign w:val="bottom"/>
            <w:tcBorders>
              <w:top w:val="single" w:sz="8" w:color="0000FF"/>
            </w:tcBorders>
            <w:gridSpan w:val="32"/>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Third Supplemental Indenture dated as of April 5, 2011 by and among Brandywine Operating</w:t>
              </w:r>
            </w:hyperlink>
          </w:p>
        </w:tc>
      </w:tr>
      <w:tr>
        <w:trPr>
          <w:trHeight w:val="155"/>
        </w:trPr>
        <w:tc>
          <w:tcPr>
            <w:tcW w:w="1200" w:type="dxa"/>
            <w:vAlign w:val="bottom"/>
          </w:tcPr>
          <w:p>
            <w:pPr>
              <w:spacing w:after="0"/>
              <w:rPr>
                <w:sz w:val="13"/>
                <w:szCs w:val="13"/>
                <w:color w:val="auto"/>
              </w:rPr>
            </w:pPr>
          </w:p>
        </w:tc>
        <w:tc>
          <w:tcPr>
            <w:tcW w:w="67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Partnership, L.P., Brandywine Realty Trust and The Bank of New York Mellon, as Trustee</w:t>
              </w:r>
            </w:hyperlink>
          </w:p>
        </w:tc>
        <w:tc>
          <w:tcPr>
            <w:tcW w:w="720" w:type="dxa"/>
            <w:vAlign w:val="bottom"/>
            <w:gridSpan w:val="25"/>
          </w:tcPr>
          <w:p>
            <w:pPr>
              <w:spacing w:after="0" w:line="156" w:lineRule="exact"/>
              <w:rPr>
                <w:rFonts w:ascii="Times New Roman" w:cs="Times New Roman" w:eastAsia="Times New Roman" w:hAnsi="Times New Roman"/>
                <w:sz w:val="18"/>
                <w:szCs w:val="18"/>
                <w:color w:val="0000FF"/>
                <w:w w:val="85"/>
              </w:rPr>
            </w:pPr>
            <w:hyperlink r:id="rId98">
              <w:r>
                <w:rPr>
                  <w:rFonts w:ascii="Times New Roman" w:cs="Times New Roman" w:eastAsia="Times New Roman" w:hAnsi="Times New Roman"/>
                  <w:sz w:val="18"/>
                  <w:szCs w:val="18"/>
                  <w:color w:val="0000FF"/>
                  <w:w w:val="85"/>
                </w:rPr>
                <w:t>(previously</w:t>
              </w:r>
            </w:hyperlink>
          </w:p>
        </w:tc>
      </w:tr>
      <w:tr>
        <w:trPr>
          <w:trHeight w:val="156"/>
        </w:trPr>
        <w:tc>
          <w:tcPr>
            <w:tcW w:w="1200" w:type="dxa"/>
            <w:vAlign w:val="bottom"/>
          </w:tcPr>
          <w:p>
            <w:pPr>
              <w:spacing w:after="0"/>
              <w:rPr>
                <w:sz w:val="13"/>
                <w:szCs w:val="13"/>
                <w:color w:val="auto"/>
              </w:rPr>
            </w:pPr>
          </w:p>
        </w:tc>
        <w:tc>
          <w:tcPr>
            <w:tcW w:w="742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filed as an exhibit to Brandywine Realty Trust's Form 8-K filed on April 5, 2011 and incorporated</w:t>
              </w:r>
            </w:hyperlink>
          </w:p>
        </w:tc>
        <w:tc>
          <w:tcPr>
            <w:tcW w:w="60" w:type="dxa"/>
            <w:vAlign w:val="bottom"/>
            <w:gridSpan w:val="3"/>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herein by reference)</w:t>
              </w:r>
            </w:hyperlink>
          </w:p>
        </w:tc>
        <w:tc>
          <w:tcPr>
            <w:tcW w:w="56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4.550% Guaranteed Notes due 2029 previously filed as an exhibit to Brandywine Realty</w:t>
              </w:r>
            </w:hyperlink>
          </w:p>
        </w:tc>
      </w:tr>
      <w:tr>
        <w:trPr>
          <w:trHeight w:val="156"/>
        </w:trPr>
        <w:tc>
          <w:tcPr>
            <w:tcW w:w="120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Trust's Form 8-K filed on September 17, 2014 and incorporated herein by reference)</w:t>
              </w:r>
            </w:hyperlink>
          </w:p>
        </w:tc>
        <w:tc>
          <w:tcPr>
            <w:tcW w:w="9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3.950% Guaranteed Notes due 2027 previously filed as an exhibit to Brandywine Realty</w:t>
              </w:r>
            </w:hyperlink>
          </w:p>
        </w:tc>
      </w:tr>
      <w:tr>
        <w:trPr>
          <w:trHeight w:val="155"/>
        </w:trPr>
        <w:tc>
          <w:tcPr>
            <w:tcW w:w="120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Trust's Form 8-K filed on November 17, 2017 and incorporated herein by reference)</w:t>
              </w:r>
            </w:hyperlink>
          </w:p>
        </w:tc>
        <w:tc>
          <w:tcPr>
            <w:tcW w:w="9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4.550% Guaranteed Notes due 2029 (previously filed as an exhibit to Brandywine Realty</w:t>
              </w:r>
            </w:hyperlink>
          </w:p>
        </w:tc>
      </w:tr>
      <w:tr>
        <w:trPr>
          <w:trHeight w:val="155"/>
        </w:trPr>
        <w:tc>
          <w:tcPr>
            <w:tcW w:w="120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Trust’s Current Report on Form 8-K dated October 10, 2019 and incorporated herein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7.550% Guaranteed Notes due 2028 (previously filed as an exhibit to Brandywine Realty</w:t>
              </w:r>
            </w:hyperlink>
          </w:p>
        </w:tc>
      </w:tr>
      <w:tr>
        <w:trPr>
          <w:trHeight w:val="155"/>
        </w:trPr>
        <w:tc>
          <w:tcPr>
            <w:tcW w:w="120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Trust’s Form 8-K filed on December 13, 2022 and incorporated herein by reference)</w:t>
              </w:r>
            </w:hyperlink>
          </w:p>
        </w:tc>
        <w:tc>
          <w:tcPr>
            <w:tcW w:w="10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8.875% Guaranteed Notes due 2029 (previously filed as an exhibit to Brandywine Realty</w:t>
              </w:r>
            </w:hyperlink>
          </w:p>
        </w:tc>
      </w:tr>
      <w:tr>
        <w:trPr>
          <w:trHeight w:val="156"/>
        </w:trPr>
        <w:tc>
          <w:tcPr>
            <w:tcW w:w="120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Trust’s Form 8-K filed on April 12, 2024 and incorporated herein by reference)</w:t>
              </w:r>
            </w:hyperlink>
          </w:p>
        </w:tc>
        <w:tc>
          <w:tcPr>
            <w:tcW w:w="11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8.875% Guaranteed Note due 2029 (previously filed as an exhibit to Brandywine Realty</w:t>
              </w:r>
            </w:hyperlink>
          </w:p>
        </w:tc>
      </w:tr>
      <w:tr>
        <w:trPr>
          <w:trHeight w:val="155"/>
        </w:trPr>
        <w:tc>
          <w:tcPr>
            <w:tcW w:w="120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Trust’s Form 8-K dated June 27, 2025 and incorporated herein by reference)</w:t>
              </w:r>
            </w:hyperlink>
          </w:p>
        </w:tc>
        <w:tc>
          <w:tcPr>
            <w:tcW w:w="14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6.125% Guaranteed Notes due 2031 (previously filed as an exhibit to Brandywine Realty</w:t>
              </w:r>
            </w:hyperlink>
          </w:p>
        </w:tc>
      </w:tr>
      <w:tr>
        <w:trPr>
          <w:trHeight w:val="155"/>
        </w:trPr>
        <w:tc>
          <w:tcPr>
            <w:tcW w:w="120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Trust’s Form 8-K dated October 3, 2025 and incorporated herein by reference)</w:t>
              </w:r>
            </w:hyperlink>
          </w:p>
        </w:tc>
        <w:tc>
          <w:tcPr>
            <w:tcW w:w="14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Description of Brandywine Realty Trust's Securities (previously filed as an exhibit to Brandywine</w:t>
              </w:r>
            </w:hyperlink>
          </w:p>
        </w:tc>
      </w:tr>
      <w:tr>
        <w:trPr>
          <w:trHeight w:val="155"/>
        </w:trPr>
        <w:tc>
          <w:tcPr>
            <w:tcW w:w="1200" w:type="dxa"/>
            <w:vAlign w:val="bottom"/>
          </w:tcPr>
          <w:p>
            <w:pPr>
              <w:spacing w:after="0"/>
              <w:rPr>
                <w:sz w:val="13"/>
                <w:szCs w:val="13"/>
                <w:color w:val="auto"/>
              </w:rPr>
            </w:pPr>
          </w:p>
        </w:tc>
        <w:tc>
          <w:tcPr>
            <w:tcW w:w="71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Realty Trust's Annual Report on Form 10-K for the fiscal year ended December 31, 2019 and</w:t>
              </w:r>
            </w:hyperlink>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incorporated herein by reference)</w:t>
              </w:r>
            </w:hyperlink>
          </w:p>
        </w:tc>
        <w:tc>
          <w:tcPr>
            <w:tcW w:w="4300" w:type="dxa"/>
            <w:vAlign w:val="bottom"/>
            <w:tcBorders>
              <w:top w:val="single" w:sz="8" w:color="0000FF"/>
            </w:tcBorders>
            <w:gridSpan w:val="18"/>
          </w:tcPr>
          <w:p>
            <w:pPr>
              <w:spacing w:after="0"/>
              <w:rPr>
                <w:sz w:val="13"/>
                <w:szCs w:val="13"/>
                <w:color w:val="auto"/>
              </w:rPr>
            </w:pPr>
          </w:p>
        </w:tc>
        <w:tc>
          <w:tcPr>
            <w:tcW w:w="2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Amended and Restated Revolving Credit Agreement dated as of July 17, 2018 (previously filed as an</w:t>
              </w:r>
            </w:hyperlink>
          </w:p>
        </w:tc>
      </w:tr>
      <w:tr>
        <w:trPr>
          <w:trHeight w:val="155"/>
        </w:trPr>
        <w:tc>
          <w:tcPr>
            <w:tcW w:w="1200" w:type="dxa"/>
            <w:vAlign w:val="bottom"/>
          </w:tcPr>
          <w:p>
            <w:pPr>
              <w:spacing w:after="0"/>
              <w:rPr>
                <w:sz w:val="13"/>
                <w:szCs w:val="13"/>
                <w:color w:val="auto"/>
              </w:rPr>
            </w:pPr>
          </w:p>
        </w:tc>
        <w:tc>
          <w:tcPr>
            <w:tcW w:w="730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exhibit to Brandywine Realty Trust’s Form 8-K filed on July 20, 2018 and incorporated herein by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reference)</w:t>
              </w:r>
            </w:hyperlink>
          </w:p>
        </w:tc>
        <w:tc>
          <w:tcPr>
            <w:tcW w:w="63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Letter dated August 10, 2015 to Cohen &amp; Steers Capital Management, Inc. relating to the waiver of</w:t>
              </w:r>
            </w:hyperlink>
          </w:p>
        </w:tc>
      </w:tr>
      <w:tr>
        <w:trPr>
          <w:trHeight w:val="156"/>
        </w:trPr>
        <w:tc>
          <w:tcPr>
            <w:tcW w:w="1200" w:type="dxa"/>
            <w:vAlign w:val="bottom"/>
          </w:tcPr>
          <w:p>
            <w:pPr>
              <w:spacing w:after="0"/>
              <w:rPr>
                <w:sz w:val="13"/>
                <w:szCs w:val="13"/>
                <w:color w:val="auto"/>
              </w:rPr>
            </w:pPr>
          </w:p>
        </w:tc>
        <w:tc>
          <w:tcPr>
            <w:tcW w:w="71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share ownership limit, including Representations, Warranties and Agreements of Cohen &amp; Steers</w:t>
              </w:r>
            </w:hyperlink>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70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Capital Management, Inc. (previously filed as an exhibit to Brandywine Realty Trust’s Form 8-K</w:t>
              </w:r>
            </w:hyperlink>
          </w:p>
        </w:tc>
        <w:tc>
          <w:tcPr>
            <w:tcW w:w="480" w:type="dxa"/>
            <w:vAlign w:val="bottom"/>
            <w:gridSpan w:val="23"/>
          </w:tcPr>
          <w:p>
            <w:pPr>
              <w:ind w:left="40"/>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filed</w:t>
              </w:r>
            </w:hyperlink>
          </w:p>
        </w:tc>
      </w:tr>
      <w:tr>
        <w:trPr>
          <w:trHeight w:val="169"/>
        </w:trPr>
        <w:tc>
          <w:tcPr>
            <w:tcW w:w="120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on August 13, 2015 and incorporated herein by reference)</w:t>
              </w:r>
            </w:hyperlink>
          </w:p>
        </w:tc>
        <w:tc>
          <w:tcPr>
            <w:tcW w:w="3200" w:type="dxa"/>
            <w:vAlign w:val="bottom"/>
            <w:tcBorders>
              <w:top w:val="single" w:sz="8" w:color="0000FF"/>
            </w:tcBorders>
            <w:gridSpan w:val="37"/>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Letter to RREEF America LLC relating to waiver of share ownership limit (previously filed as an</w:t>
              </w:r>
            </w:hyperlink>
          </w:p>
        </w:tc>
      </w:tr>
      <w:tr>
        <w:trPr>
          <w:trHeight w:val="155"/>
        </w:trPr>
        <w:tc>
          <w:tcPr>
            <w:tcW w:w="120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exhibit to Brandywine Realty Trust’s Form 10-K for the fiscal year ended December 31, 2009 and</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gridSpan w:val="4"/>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24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incorporated herein by reference)</w:t>
              </w:r>
            </w:hyperlink>
          </w:p>
        </w:tc>
        <w:tc>
          <w:tcPr>
            <w:tcW w:w="4720" w:type="dxa"/>
            <w:vAlign w:val="bottom"/>
            <w:gridSpan w:val="29"/>
          </w:tcPr>
          <w:p>
            <w:pPr>
              <w:spacing w:after="0"/>
              <w:rPr>
                <w:sz w:val="13"/>
                <w:szCs w:val="13"/>
                <w:color w:val="auto"/>
              </w:rPr>
            </w:pPr>
          </w:p>
        </w:tc>
        <w:tc>
          <w:tcPr>
            <w:tcW w:w="20" w:type="dxa"/>
            <w:vAlign w:val="bottom"/>
            <w:gridSpan w:val="4"/>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 and Restated Employment Agreement dated as of February 9, 2007 of Gerard H.</w:t>
              </w:r>
            </w:hyperlink>
          </w:p>
        </w:tc>
      </w:tr>
      <w:tr>
        <w:trPr>
          <w:trHeight w:val="156"/>
        </w:trPr>
        <w:tc>
          <w:tcPr>
            <w:tcW w:w="1200" w:type="dxa"/>
            <w:vAlign w:val="bottom"/>
          </w:tcPr>
          <w:p>
            <w:pPr>
              <w:spacing w:after="0"/>
              <w:rPr>
                <w:sz w:val="13"/>
                <w:szCs w:val="13"/>
                <w:color w:val="auto"/>
              </w:rPr>
            </w:pPr>
          </w:p>
        </w:tc>
        <w:tc>
          <w:tcPr>
            <w:tcW w:w="65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Sweeney** (previously filed as an exhibit to Brandywine Realty Trust’s Form 8-K dated</w:t>
              </w:r>
            </w:hyperlink>
          </w:p>
        </w:tc>
        <w:tc>
          <w:tcPr>
            <w:tcW w:w="920" w:type="dxa"/>
            <w:vAlign w:val="bottom"/>
            <w:gridSpan w:val="29"/>
          </w:tcPr>
          <w:p>
            <w:pPr>
              <w:spacing w:after="0" w:line="156" w:lineRule="exact"/>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February 14,</w:t>
              </w:r>
            </w:hyperlink>
          </w:p>
        </w:tc>
      </w:tr>
      <w:tr>
        <w:trPr>
          <w:trHeight w:val="155"/>
        </w:trPr>
        <w:tc>
          <w:tcPr>
            <w:tcW w:w="120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2007 and incorporated herein by reference)</w:t>
              </w:r>
            </w:hyperlink>
          </w:p>
        </w:tc>
        <w:tc>
          <w:tcPr>
            <w:tcW w:w="4240" w:type="dxa"/>
            <w:vAlign w:val="bottom"/>
            <w:tcBorders>
              <w:top w:val="single" w:sz="8" w:color="0000FF"/>
            </w:tcBorders>
            <w:gridSpan w:val="38"/>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480" w:type="dxa"/>
            <w:vAlign w:val="bottom"/>
            <w:gridSpan w:val="4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Letter Agreement dated March 1, 2012 modifying Amended and Restated Employment Agreement of</w:t>
              </w:r>
            </w:hyperlink>
          </w:p>
        </w:tc>
      </w:tr>
      <w:tr>
        <w:trPr>
          <w:trHeight w:val="155"/>
        </w:trPr>
        <w:tc>
          <w:tcPr>
            <w:tcW w:w="1200" w:type="dxa"/>
            <w:vAlign w:val="bottom"/>
          </w:tcPr>
          <w:p>
            <w:pPr>
              <w:spacing w:after="0"/>
              <w:rPr>
                <w:sz w:val="13"/>
                <w:szCs w:val="13"/>
                <w:color w:val="auto"/>
              </w:rPr>
            </w:pPr>
          </w:p>
        </w:tc>
        <w:tc>
          <w:tcPr>
            <w:tcW w:w="73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Gerard H. Sweeney** (previously filed as an exhibit to Brandywine Realty Trust’s Form 8-K dated</w:t>
              </w:r>
            </w:hyperlink>
          </w:p>
        </w:tc>
        <w:tc>
          <w:tcPr>
            <w:tcW w:w="140" w:type="dxa"/>
            <w:vAlign w:val="bottom"/>
            <w:gridSpan w:val="7"/>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March 7, 2012 and incorporated herein by reference)</w:t>
              </w:r>
            </w:hyperlink>
          </w:p>
        </w:tc>
        <w:tc>
          <w:tcPr>
            <w:tcW w:w="3340" w:type="dxa"/>
            <w:vAlign w:val="bottom"/>
            <w:tcBorders>
              <w:top w:val="single" w:sz="8" w:color="0000FF"/>
            </w:tcBorders>
            <w:gridSpan w:val="31"/>
          </w:tcPr>
          <w:p>
            <w:pPr>
              <w:spacing w:after="0"/>
              <w:rPr>
                <w:sz w:val="13"/>
                <w:szCs w:val="13"/>
                <w:color w:val="auto"/>
              </w:rPr>
            </w:pPr>
          </w:p>
        </w:tc>
        <w:tc>
          <w:tcPr>
            <w:tcW w:w="320" w:type="dxa"/>
            <w:vAlign w:val="bottom"/>
            <w:gridSpan w:val="12"/>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119"/>
          </w:cols>
          <w:pgMar w:left="340" w:top="1215"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15" w:right="1440"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9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Amended and Restated 1997 Long-Term Incentive Plan (as amended effective May 18, 2017)**</w:t>
              </w:r>
            </w:hyperlink>
          </w:p>
        </w:tc>
        <w:tc>
          <w:tcPr>
            <w:tcW w:w="480" w:type="dxa"/>
            <w:vAlign w:val="bottom"/>
            <w:gridSpan w:val="21"/>
          </w:tcPr>
          <w:p>
            <w:pPr>
              <w:spacing w:after="0"/>
              <w:rPr>
                <w:sz w:val="17"/>
                <w:szCs w:val="17"/>
                <w:color w:val="auto"/>
              </w:rPr>
            </w:pPr>
          </w:p>
        </w:tc>
      </w:tr>
      <w:tr>
        <w:trPr>
          <w:trHeight w:val="156"/>
        </w:trPr>
        <w:tc>
          <w:tcPr>
            <w:tcW w:w="1200" w:type="dxa"/>
            <w:vAlign w:val="bottom"/>
          </w:tcPr>
          <w:p>
            <w:pPr>
              <w:spacing w:after="0"/>
              <w:rPr>
                <w:sz w:val="13"/>
                <w:szCs w:val="13"/>
                <w:color w:val="auto"/>
              </w:rPr>
            </w:pPr>
          </w:p>
        </w:tc>
        <w:tc>
          <w:tcPr>
            <w:tcW w:w="7420" w:type="dxa"/>
            <w:vAlign w:val="bottom"/>
            <w:gridSpan w:val="36"/>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(previously filed as Appendix A to Brandywine Realty Trust’s definitive Proxy Statement on Schedule</w:t>
              </w:r>
            </w:hyperlink>
          </w:p>
        </w:tc>
      </w:tr>
      <w:tr>
        <w:trPr>
          <w:trHeight w:val="156"/>
        </w:trPr>
        <w:tc>
          <w:tcPr>
            <w:tcW w:w="120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14A filed on April 4, 2017 and incorporated herein by reference)</w:t>
              </w:r>
            </w:hyperlink>
          </w:p>
        </w:tc>
        <w:tc>
          <w:tcPr>
            <w:tcW w:w="27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No. 1 to Amended and Restated 1997 Long-Term Incentive Plan** (previously filed as</w:t>
              </w:r>
            </w:hyperlink>
          </w:p>
        </w:tc>
      </w:tr>
      <w:tr>
        <w:trPr>
          <w:trHeight w:val="155"/>
        </w:trPr>
        <w:tc>
          <w:tcPr>
            <w:tcW w:w="1200" w:type="dxa"/>
            <w:vAlign w:val="bottom"/>
          </w:tcPr>
          <w:p>
            <w:pPr>
              <w:spacing w:after="0"/>
              <w:rPr>
                <w:sz w:val="13"/>
                <w:szCs w:val="13"/>
                <w:color w:val="auto"/>
              </w:rPr>
            </w:pPr>
          </w:p>
        </w:tc>
        <w:tc>
          <w:tcPr>
            <w:tcW w:w="7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 exhibit to Brandywine Realty Trust’s Form 10-Q for the quarter ended March 31, 2018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incorporated herein by reference)</w:t>
              </w:r>
            </w:hyperlink>
          </w:p>
        </w:tc>
        <w:tc>
          <w:tcPr>
            <w:tcW w:w="436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Brandywine Realty Trust Second Amended and Restated Executive Deferred Compensation Plan (as</w:t>
              </w:r>
            </w:hyperlink>
          </w:p>
        </w:tc>
      </w:tr>
      <w:tr>
        <w:trPr>
          <w:trHeight w:val="156"/>
        </w:trPr>
        <w:tc>
          <w:tcPr>
            <w:tcW w:w="1200" w:type="dxa"/>
            <w:vAlign w:val="bottom"/>
          </w:tcPr>
          <w:p>
            <w:pPr>
              <w:spacing w:after="0"/>
              <w:rPr>
                <w:sz w:val="13"/>
                <w:szCs w:val="13"/>
                <w:color w:val="auto"/>
              </w:rPr>
            </w:pPr>
          </w:p>
        </w:tc>
        <w:tc>
          <w:tcPr>
            <w:tcW w:w="7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Effective January 1, 2021)** (previously filed as an exhibit to Brandywine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7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Realty Trust’s Form 10-K for the year ended December 31, 2020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reference)</w:t>
              </w:r>
            </w:hyperlink>
          </w:p>
        </w:tc>
        <w:tc>
          <w:tcPr>
            <w:tcW w:w="5920" w:type="dxa"/>
            <w:vAlign w:val="bottom"/>
            <w:tcBorders>
              <w:top w:val="single" w:sz="8" w:color="0000FF"/>
            </w:tcBorders>
            <w:gridSpan w:val="9"/>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2007 Non-Qualified Employee Share Purchase Plan** (previously filed as an exhibit to Brandywine</w:t>
              </w:r>
            </w:hyperlink>
          </w:p>
        </w:tc>
      </w:tr>
      <w:tr>
        <w:trPr>
          <w:trHeight w:val="156"/>
        </w:trPr>
        <w:tc>
          <w:tcPr>
            <w:tcW w:w="120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Realty Trust’s Form 10-Q for the quarter ended March 31, 2007 and incorporated herein by reference)</w:t>
              </w:r>
            </w:hyperlink>
          </w:p>
        </w:tc>
        <w:tc>
          <w:tcPr>
            <w:tcW w:w="20" w:type="dxa"/>
            <w:vAlign w:val="bottom"/>
            <w:tcBorders>
              <w:bottom w:val="single" w:sz="8" w:color="0000FF"/>
            </w:tcBorders>
          </w:tcPr>
          <w:p>
            <w:pPr>
              <w:spacing w:after="0"/>
              <w:rPr>
                <w:sz w:val="13"/>
                <w:szCs w:val="13"/>
                <w:color w:val="auto"/>
              </w:rPr>
            </w:pPr>
          </w:p>
        </w:tc>
        <w:tc>
          <w:tcPr>
            <w:tcW w:w="4294967237"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Change in Control Agreement with Executive Officers (Wirth and DeVuono)** (previously</w:t>
              </w:r>
            </w:hyperlink>
          </w:p>
        </w:tc>
      </w:tr>
      <w:tr>
        <w:trPr>
          <w:trHeight w:val="155"/>
        </w:trPr>
        <w:tc>
          <w:tcPr>
            <w:tcW w:w="120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filed as an exhibit to Brandywine Realty Trust’s Form 8-K filed on February 4, 2010 and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37"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46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herein by reference)</w:t>
              </w:r>
            </w:hyperlink>
          </w:p>
        </w:tc>
        <w:tc>
          <w:tcPr>
            <w:tcW w:w="590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5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Form of Incentive Compensation Clawback Agreement** (previously filed as an exhibit to</w:t>
              </w:r>
            </w:hyperlink>
          </w:p>
        </w:tc>
        <w:tc>
          <w:tcPr>
            <w:tcW w:w="860" w:type="dxa"/>
            <w:vAlign w:val="bottom"/>
            <w:gridSpan w:val="27"/>
          </w:tcPr>
          <w:p>
            <w:pPr>
              <w:spacing w:after="0"/>
              <w:rPr>
                <w:sz w:val="19"/>
                <w:szCs w:val="19"/>
                <w:color w:val="auto"/>
              </w:rPr>
            </w:pPr>
          </w:p>
        </w:tc>
      </w:tr>
      <w:tr>
        <w:trPr>
          <w:trHeight w:val="156"/>
        </w:trPr>
        <w:tc>
          <w:tcPr>
            <w:tcW w:w="1200" w:type="dxa"/>
            <w:vAlign w:val="bottom"/>
          </w:tcPr>
          <w:p>
            <w:pPr>
              <w:spacing w:after="0"/>
              <w:rPr>
                <w:sz w:val="13"/>
                <w:szCs w:val="13"/>
                <w:color w:val="auto"/>
              </w:rPr>
            </w:pPr>
          </w:p>
        </w:tc>
        <w:tc>
          <w:tcPr>
            <w:tcW w:w="7420" w:type="dxa"/>
            <w:vAlign w:val="bottom"/>
            <w:gridSpan w:val="3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Brandywine Realty Trust’s Form 8-K filed on February 26, 2015 and incorporated herein by</w:t>
              </w:r>
            </w:hyperlink>
          </w:p>
        </w:tc>
      </w:tr>
      <w:tr>
        <w:trPr>
          <w:trHeight w:val="156"/>
        </w:trPr>
        <w:tc>
          <w:tcPr>
            <w:tcW w:w="120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reference)</w:t>
              </w:r>
            </w:hyperlink>
          </w:p>
        </w:tc>
        <w:tc>
          <w:tcPr>
            <w:tcW w:w="5900" w:type="dxa"/>
            <w:vAlign w:val="bottom"/>
            <w:tcBorders>
              <w:top w:val="single" w:sz="8" w:color="0000FF"/>
            </w:tcBorders>
            <w:gridSpan w:val="8"/>
          </w:tcPr>
          <w:p>
            <w:pPr>
              <w:spacing w:after="0"/>
              <w:rPr>
                <w:sz w:val="13"/>
                <w:szCs w:val="13"/>
                <w:color w:val="auto"/>
              </w:rPr>
            </w:pPr>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4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Schedule of Non-Employee Trustee Compensation (as revised, effective May 21, 2025)**(filed</w:t>
            </w:r>
          </w:p>
        </w:tc>
      </w:tr>
      <w:tr>
        <w:trPr>
          <w:trHeight w:val="156"/>
        </w:trPr>
        <w:tc>
          <w:tcPr>
            <w:tcW w:w="12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herewith)</w:t>
            </w:r>
          </w:p>
        </w:tc>
        <w:tc>
          <w:tcPr>
            <w:tcW w:w="61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4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Schedule of Non-Employee Trustee Compensation (as revised, effective May 28, 2026)**(filed</w:t>
            </w:r>
          </w:p>
        </w:tc>
      </w:tr>
      <w:tr>
        <w:trPr>
          <w:trHeight w:val="156"/>
        </w:trPr>
        <w:tc>
          <w:tcPr>
            <w:tcW w:w="12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herewith)</w:t>
            </w:r>
          </w:p>
        </w:tc>
        <w:tc>
          <w:tcPr>
            <w:tcW w:w="61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2023 Restricted Common Share Rights Award (with outperformance feature)** (previously</w:t>
              </w:r>
            </w:hyperlink>
          </w:p>
        </w:tc>
      </w:tr>
      <w:tr>
        <w:trPr>
          <w:trHeight w:val="155"/>
        </w:trPr>
        <w:tc>
          <w:tcPr>
            <w:tcW w:w="1200" w:type="dxa"/>
            <w:vAlign w:val="bottom"/>
          </w:tcPr>
          <w:p>
            <w:pPr>
              <w:spacing w:after="0"/>
              <w:rPr>
                <w:sz w:val="13"/>
                <w:szCs w:val="13"/>
                <w:color w:val="auto"/>
              </w:rPr>
            </w:pPr>
          </w:p>
        </w:tc>
        <w:tc>
          <w:tcPr>
            <w:tcW w:w="7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filed as an exhibit to Brandywine Realty Trust’s Form 10-K for the year ended December 31,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and incorporated herein by reference)</w:t>
              </w:r>
            </w:hyperlink>
          </w:p>
        </w:tc>
        <w:tc>
          <w:tcPr>
            <w:tcW w:w="440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Change in Control Agreement with Executive Officers (Johnstone, Neuman and Redd)**</w:t>
              </w:r>
            </w:hyperlink>
          </w:p>
        </w:tc>
      </w:tr>
      <w:tr>
        <w:trPr>
          <w:trHeight w:val="20"/>
        </w:trPr>
        <w:tc>
          <w:tcPr>
            <w:tcW w:w="1200" w:type="dxa"/>
            <w:vAlign w:val="bottom"/>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7420" w:type="dxa"/>
            <w:vAlign w:val="bottom"/>
            <w:gridSpan w:val="3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(previously filed as an exhibit to Brandywine Realty Trust’s Form 10-K for the year ended December</w:t>
              </w:r>
            </w:hyperlink>
          </w:p>
        </w:tc>
      </w:tr>
      <w:tr>
        <w:trPr>
          <w:trHeight w:val="155"/>
        </w:trPr>
        <w:tc>
          <w:tcPr>
            <w:tcW w:w="1200" w:type="dxa"/>
            <w:vAlign w:val="bottom"/>
          </w:tcPr>
          <w:p>
            <w:pPr>
              <w:spacing w:after="0"/>
              <w:rPr>
                <w:sz w:val="13"/>
                <w:szCs w:val="13"/>
                <w:color w:val="auto"/>
              </w:rPr>
            </w:pPr>
          </w:p>
        </w:tc>
        <w:tc>
          <w:tcPr>
            <w:tcW w:w="73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31, 2021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6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Brandywine Realty Trust 2023 Long-Term Incentive Plan** (previously filed as Appendix B to</w:t>
              </w:r>
            </w:hyperlink>
          </w:p>
        </w:tc>
        <w:tc>
          <w:tcPr>
            <w:tcW w:w="520" w:type="dxa"/>
            <w:vAlign w:val="bottom"/>
            <w:gridSpan w:val="22"/>
          </w:tcPr>
          <w:p>
            <w:pPr>
              <w:spacing w:after="0"/>
              <w:rPr>
                <w:sz w:val="19"/>
                <w:szCs w:val="19"/>
                <w:color w:val="auto"/>
              </w:rPr>
            </w:pPr>
          </w:p>
        </w:tc>
      </w:tr>
      <w:tr>
        <w:trPr>
          <w:trHeight w:val="155"/>
        </w:trPr>
        <w:tc>
          <w:tcPr>
            <w:tcW w:w="1200" w:type="dxa"/>
            <w:vAlign w:val="bottom"/>
          </w:tcPr>
          <w:p>
            <w:pPr>
              <w:spacing w:after="0"/>
              <w:rPr>
                <w:sz w:val="13"/>
                <w:szCs w:val="13"/>
                <w:color w:val="auto"/>
              </w:rPr>
            </w:pPr>
          </w:p>
        </w:tc>
        <w:tc>
          <w:tcPr>
            <w:tcW w:w="7420" w:type="dxa"/>
            <w:vAlign w:val="bottom"/>
            <w:gridSpan w:val="36"/>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Brandywine Realty Trust’s definitive Proxy Statement on Schedule 14A filed on March 31, 2023 and</w:t>
              </w:r>
            </w:hyperlink>
          </w:p>
        </w:tc>
      </w:tr>
      <w:tr>
        <w:trPr>
          <w:trHeight w:val="155"/>
        </w:trPr>
        <w:tc>
          <w:tcPr>
            <w:tcW w:w="120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incorporated herein by reference)</w:t>
              </w:r>
            </w:hyperlink>
          </w:p>
        </w:tc>
        <w:tc>
          <w:tcPr>
            <w:tcW w:w="48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2024 Performance-Based Restricted Stock Unit Award Agreement** (previously filed as an</w:t>
              </w:r>
            </w:hyperlink>
          </w:p>
        </w:tc>
      </w:tr>
      <w:tr>
        <w:trPr>
          <w:trHeight w:val="156"/>
        </w:trPr>
        <w:tc>
          <w:tcPr>
            <w:tcW w:w="1200" w:type="dxa"/>
            <w:vAlign w:val="bottom"/>
          </w:tcPr>
          <w:p>
            <w:pPr>
              <w:spacing w:after="0"/>
              <w:rPr>
                <w:sz w:val="13"/>
                <w:szCs w:val="13"/>
                <w:color w:val="auto"/>
              </w:rPr>
            </w:pPr>
          </w:p>
        </w:tc>
        <w:tc>
          <w:tcPr>
            <w:tcW w:w="7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exhibit to Brandywine Realty Trust’s Form 10-Q for the quarter ended March 31, 2024 and</w:t>
              </w:r>
            </w:hyperlink>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herein by reference)</w:t>
              </w:r>
            </w:hyperlink>
          </w:p>
        </w:tc>
        <w:tc>
          <w:tcPr>
            <w:tcW w:w="3920" w:type="dxa"/>
            <w:vAlign w:val="bottom"/>
            <w:tcBorders>
              <w:top w:val="single" w:sz="8" w:color="0000FF"/>
            </w:tcBorders>
            <w:gridSpan w:val="4"/>
          </w:tcPr>
          <w:p>
            <w:pPr>
              <w:spacing w:after="0"/>
              <w:rPr>
                <w:sz w:val="13"/>
                <w:szCs w:val="13"/>
                <w:color w:val="auto"/>
              </w:rPr>
            </w:pPr>
          </w:p>
        </w:tc>
        <w:tc>
          <w:tcPr>
            <w:tcW w:w="340" w:type="dxa"/>
            <w:vAlign w:val="bottom"/>
            <w:gridSpan w:val="5"/>
          </w:tcPr>
          <w:p>
            <w:pPr>
              <w:spacing w:after="0"/>
              <w:rPr>
                <w:sz w:val="13"/>
                <w:szCs w:val="13"/>
                <w:color w:val="auto"/>
              </w:rPr>
            </w:pPr>
          </w:p>
        </w:tc>
        <w:tc>
          <w:tcPr>
            <w:tcW w:w="2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Form of 2024 Restricted Stock Unit Award Agreement (with outperformance feature)** (previously</w:t>
              </w:r>
            </w:hyperlink>
          </w:p>
        </w:tc>
        <w:tc>
          <w:tcPr>
            <w:tcW w:w="180" w:type="dxa"/>
            <w:vAlign w:val="bottom"/>
            <w:gridSpan w:val="14"/>
          </w:tcPr>
          <w:p>
            <w:pPr>
              <w:spacing w:after="0"/>
              <w:rPr>
                <w:sz w:val="19"/>
                <w:szCs w:val="19"/>
                <w:color w:val="auto"/>
              </w:rPr>
            </w:pPr>
          </w:p>
        </w:tc>
      </w:tr>
      <w:tr>
        <w:trPr>
          <w:trHeight w:val="155"/>
        </w:trPr>
        <w:tc>
          <w:tcPr>
            <w:tcW w:w="1200" w:type="dxa"/>
            <w:vAlign w:val="bottom"/>
          </w:tcPr>
          <w:p>
            <w:pPr>
              <w:spacing w:after="0"/>
              <w:rPr>
                <w:sz w:val="13"/>
                <w:szCs w:val="13"/>
                <w:color w:val="auto"/>
              </w:rPr>
            </w:pPr>
          </w:p>
        </w:tc>
        <w:tc>
          <w:tcPr>
            <w:tcW w:w="7420" w:type="dxa"/>
            <w:vAlign w:val="bottom"/>
            <w:gridSpan w:val="3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filed as an exhibit to Brandywine Realty Trust’s Form 10-Q for the quarter ended March 31, 2024 and</w:t>
              </w:r>
            </w:hyperlink>
          </w:p>
        </w:tc>
      </w:tr>
      <w:tr>
        <w:trPr>
          <w:trHeight w:val="155"/>
        </w:trPr>
        <w:tc>
          <w:tcPr>
            <w:tcW w:w="120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herein by reference)</w:t>
              </w:r>
            </w:hyperlink>
          </w:p>
        </w:tc>
        <w:tc>
          <w:tcPr>
            <w:tcW w:w="4720" w:type="dxa"/>
            <w:vAlign w:val="bottom"/>
            <w:tcBorders>
              <w:top w:val="single" w:sz="8" w:color="0000FF"/>
            </w:tcBorders>
            <w:gridSpan w:val="27"/>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2025 Performance-Based Restricted Stock Unit Award Agreement** (previously filed as an</w:t>
              </w:r>
            </w:hyperlink>
          </w:p>
        </w:tc>
      </w:tr>
      <w:tr>
        <w:trPr>
          <w:trHeight w:val="156"/>
        </w:trPr>
        <w:tc>
          <w:tcPr>
            <w:tcW w:w="1200" w:type="dxa"/>
            <w:vAlign w:val="bottom"/>
          </w:tcPr>
          <w:p>
            <w:pPr>
              <w:spacing w:after="0"/>
              <w:rPr>
                <w:sz w:val="13"/>
                <w:szCs w:val="13"/>
                <w:color w:val="auto"/>
              </w:rPr>
            </w:pPr>
          </w:p>
        </w:tc>
        <w:tc>
          <w:tcPr>
            <w:tcW w:w="7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exhibit to Brandywine Realty Trust’s Form 10-Q filed on April 30, 2025 and incorporated herein by</w:t>
              </w:r>
            </w:hyperlink>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reference)</w:t>
              </w:r>
            </w:hyperlink>
          </w:p>
        </w:tc>
        <w:tc>
          <w:tcPr>
            <w:tcW w:w="646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2025 Restricted Stock Unit Award Agreement (with outperformance feature)** (previously</w:t>
              </w:r>
            </w:hyperlink>
          </w:p>
        </w:tc>
      </w:tr>
      <w:tr>
        <w:trPr>
          <w:trHeight w:val="155"/>
        </w:trPr>
        <w:tc>
          <w:tcPr>
            <w:tcW w:w="120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filed as an exhibit to Brandywine Realty Trust’s Form 10-Q filed on April 30, 2025 and incorporated</w:t>
              </w:r>
            </w:hyperlink>
          </w:p>
        </w:tc>
        <w:tc>
          <w:tcPr>
            <w:tcW w:w="60" w:type="dxa"/>
            <w:vAlign w:val="bottom"/>
            <w:tcBorders>
              <w:bottom w:val="single" w:sz="8" w:color="0000FF"/>
            </w:tcBorders>
            <w:gridSpan w:val="3"/>
          </w:tcPr>
          <w:p>
            <w:pPr>
              <w:spacing w:after="0"/>
              <w:rPr>
                <w:sz w:val="13"/>
                <w:szCs w:val="13"/>
                <w:color w:val="auto"/>
              </w:rPr>
            </w:pPr>
          </w:p>
        </w:tc>
        <w:tc>
          <w:tcPr>
            <w:tcW w:w="4294967257"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46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herein by reference)</w:t>
              </w:r>
            </w:hyperlink>
          </w:p>
        </w:tc>
        <w:tc>
          <w:tcPr>
            <w:tcW w:w="5820" w:type="dxa"/>
            <w:vAlign w:val="bottom"/>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2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Brandywine Realty Trust 2023 Long-Term Incentive Plan, as amended** (incorporated by reference</w:t>
              </w:r>
            </w:hyperlink>
          </w:p>
        </w:tc>
        <w:tc>
          <w:tcPr>
            <w:tcW w:w="160" w:type="dxa"/>
            <w:vAlign w:val="bottom"/>
            <w:gridSpan w:val="9"/>
          </w:tcPr>
          <w:p>
            <w:pPr>
              <w:spacing w:after="0"/>
              <w:rPr>
                <w:sz w:val="19"/>
                <w:szCs w:val="19"/>
                <w:color w:val="auto"/>
              </w:rPr>
            </w:pPr>
          </w:p>
        </w:tc>
      </w:tr>
      <w:tr>
        <w:trPr>
          <w:trHeight w:val="156"/>
        </w:trPr>
        <w:tc>
          <w:tcPr>
            <w:tcW w:w="1200" w:type="dxa"/>
            <w:vAlign w:val="bottom"/>
          </w:tcPr>
          <w:p>
            <w:pPr>
              <w:spacing w:after="0"/>
              <w:rPr>
                <w:sz w:val="13"/>
                <w:szCs w:val="13"/>
                <w:color w:val="auto"/>
              </w:rPr>
            </w:pPr>
          </w:p>
        </w:tc>
        <w:tc>
          <w:tcPr>
            <w:tcW w:w="7360" w:type="dxa"/>
            <w:vAlign w:val="bottom"/>
            <w:tcBorders>
              <w:bottom w:val="single" w:sz="8" w:color="0000FF"/>
            </w:tcBorders>
            <w:gridSpan w:val="33"/>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to Appendix B to the Company’s Definitive Proxy Statement on Schedule 14A filed on April 4, 2025)</w:t>
              </w:r>
            </w:hyperlink>
          </w:p>
        </w:tc>
        <w:tc>
          <w:tcPr>
            <w:tcW w:w="60" w:type="dxa"/>
            <w:vAlign w:val="bottom"/>
            <w:gridSpan w:val="3"/>
          </w:tcPr>
          <w:p>
            <w:pPr>
              <w:spacing w:after="0"/>
              <w:rPr>
                <w:sz w:val="13"/>
                <w:szCs w:val="13"/>
                <w:color w:val="auto"/>
              </w:rPr>
            </w:pPr>
          </w:p>
        </w:tc>
      </w:tr>
      <w:tr>
        <w:trPr>
          <w:trHeight w:val="7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6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Amendment to the Second Amended and Restated Credit Agreement dated September 26, 2025</w:t>
              </w:r>
            </w:hyperlink>
          </w:p>
        </w:tc>
        <w:tc>
          <w:tcPr>
            <w:tcW w:w="520" w:type="dxa"/>
            <w:vAlign w:val="bottom"/>
            <w:gridSpan w:val="22"/>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7420" w:type="dxa"/>
            <w:vAlign w:val="bottom"/>
            <w:gridSpan w:val="36"/>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(previously filed as an exhibit to Brandywine Realty Trust’s Form 10-Q filed on November 7, 2025</w:t>
              </w:r>
            </w:hyperlink>
          </w:p>
        </w:tc>
      </w:tr>
      <w:tr>
        <w:trPr>
          <w:trHeight w:val="156"/>
        </w:trPr>
        <w:tc>
          <w:tcPr>
            <w:tcW w:w="12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and incorporated herein by reference)</w:t>
              </w:r>
            </w:hyperlink>
          </w:p>
        </w:tc>
        <w:tc>
          <w:tcPr>
            <w:tcW w:w="4460" w:type="dxa"/>
            <w:vAlign w:val="bottom"/>
            <w:tcBorders>
              <w:top w:val="single" w:sz="8" w:color="0000FF"/>
            </w:tcBorders>
            <w:gridSpan w:val="13"/>
          </w:tcPr>
          <w:p>
            <w:pPr>
              <w:spacing w:after="0"/>
              <w:rPr>
                <w:sz w:val="13"/>
                <w:szCs w:val="13"/>
                <w:color w:val="auto"/>
              </w:rPr>
            </w:pPr>
          </w:p>
        </w:tc>
        <w:tc>
          <w:tcPr>
            <w:tcW w:w="8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7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6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Code of Business Conduct and Ethics, as amended on December 6, 2016 (previously filed as an</w:t>
              </w:r>
            </w:hyperlink>
          </w:p>
        </w:tc>
        <w:tc>
          <w:tcPr>
            <w:tcW w:w="520" w:type="dxa"/>
            <w:vAlign w:val="bottom"/>
            <w:gridSpan w:val="22"/>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7420" w:type="dxa"/>
            <w:vAlign w:val="bottom"/>
            <w:gridSpan w:val="3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exhibit to Brandywine Realty Trust’s Form 8-K filed on December 9, 2016 and incorporated herein by</w:t>
              </w:r>
            </w:hyperlink>
          </w:p>
        </w:tc>
      </w:tr>
      <w:tr>
        <w:trPr>
          <w:trHeight w:val="155"/>
        </w:trPr>
        <w:tc>
          <w:tcPr>
            <w:tcW w:w="120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reference)</w:t>
              </w:r>
            </w:hyperlink>
          </w:p>
        </w:tc>
        <w:tc>
          <w:tcPr>
            <w:tcW w:w="664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7420" w:type="dxa"/>
            <w:vAlign w:val="bottom"/>
            <w:gridSpan w:val="3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Brandywine Realty Trust Insider Trading Policy (previously filed as an exhibit to Brandywine Realty</w:t>
              </w:r>
            </w:hyperlink>
          </w:p>
        </w:tc>
      </w:tr>
      <w:tr>
        <w:trPr>
          <w:trHeight w:val="156"/>
        </w:trPr>
        <w:tc>
          <w:tcPr>
            <w:tcW w:w="120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Trust's Form 10-K for the year ended December 31, 2024 and incorporated herein by reference)</w:t>
              </w:r>
            </w:hyperlink>
          </w:p>
        </w:tc>
        <w:tc>
          <w:tcPr>
            <w:tcW w:w="60" w:type="dxa"/>
            <w:vAlign w:val="bottom"/>
            <w:tcBorders>
              <w:top w:val="single" w:sz="8" w:color="0000FF"/>
            </w:tcBorders>
            <w:gridSpan w:val="3"/>
          </w:tcPr>
          <w:p>
            <w:pPr>
              <w:spacing w:after="0"/>
              <w:rPr>
                <w:sz w:val="13"/>
                <w:szCs w:val="13"/>
                <w:color w:val="auto"/>
              </w:rPr>
            </w:pPr>
          </w:p>
        </w:tc>
        <w:tc>
          <w:tcPr>
            <w:tcW w:w="100" w:type="dxa"/>
            <w:vAlign w:val="bottom"/>
            <w:gridSpan w:val="6"/>
          </w:tcPr>
          <w:p>
            <w:pPr>
              <w:spacing w:after="0"/>
              <w:rPr>
                <w:sz w:val="13"/>
                <w:szCs w:val="13"/>
                <w:color w:val="auto"/>
              </w:rPr>
            </w:pPr>
          </w:p>
        </w:tc>
      </w:tr>
    </w:tbl>
    <w:p>
      <w:pPr>
        <w:spacing w:after="0" w:line="36" w:lineRule="exact"/>
        <w:rPr>
          <w:sz w:val="20"/>
          <w:szCs w:val="20"/>
          <w:color w:val="auto"/>
        </w:rPr>
      </w:pPr>
    </w:p>
    <w:p>
      <w:pPr>
        <w:ind w:left="1200" w:hanging="1194"/>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subsidiaries (filed herewith)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23.1</w:t>
            </w:r>
          </w:p>
        </w:tc>
        <w:tc>
          <w:tcPr>
            <w:tcW w:w="7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relating to financial statements of Brandywine Realty Trust</w:t>
            </w:r>
          </w:p>
        </w:tc>
      </w:tr>
      <w:tr>
        <w:trPr>
          <w:trHeight w:val="156"/>
        </w:trPr>
        <w:tc>
          <w:tcPr>
            <w:tcW w:w="1200" w:type="dxa"/>
            <w:vAlign w:val="bottom"/>
          </w:tcPr>
          <w:p>
            <w:pPr>
              <w:spacing w:after="0"/>
              <w:rPr>
                <w:sz w:val="13"/>
                <w:szCs w:val="13"/>
                <w:color w:val="auto"/>
              </w:rPr>
            </w:pPr>
          </w:p>
        </w:tc>
        <w:tc>
          <w:tcPr>
            <w:tcW w:w="114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(filed herewith)</w:t>
            </w:r>
          </w:p>
        </w:tc>
        <w:tc>
          <w:tcPr>
            <w:tcW w:w="6160" w:type="dxa"/>
            <w:vAlign w:val="bottom"/>
            <w:gridSpan w:val="6"/>
          </w:tcPr>
          <w:p>
            <w:pPr>
              <w:spacing w:after="0"/>
              <w:rPr>
                <w:sz w:val="13"/>
                <w:szCs w:val="13"/>
                <w:color w:val="auto"/>
              </w:rPr>
            </w:pPr>
          </w:p>
        </w:tc>
      </w:tr>
      <w:tr>
        <w:trPr>
          <w:trHeight w:val="223"/>
        </w:trPr>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23.2</w:t>
            </w:r>
          </w:p>
        </w:tc>
        <w:tc>
          <w:tcPr>
            <w:tcW w:w="7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PricewaterhouseCoopers LLP relating to financial statements of Brandywine Operating</w:t>
            </w:r>
          </w:p>
        </w:tc>
      </w:tr>
      <w:tr>
        <w:trPr>
          <w:trHeight w:val="155"/>
        </w:trPr>
        <w:tc>
          <w:tcPr>
            <w:tcW w:w="1200" w:type="dxa"/>
            <w:vAlign w:val="bottom"/>
          </w:tcPr>
          <w:p>
            <w:pPr>
              <w:spacing w:after="0"/>
              <w:rPr>
                <w:sz w:val="13"/>
                <w:szCs w:val="13"/>
                <w:color w:val="auto"/>
              </w:rPr>
            </w:pPr>
          </w:p>
        </w:tc>
        <w:tc>
          <w:tcPr>
            <w:tcW w:w="71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Partnership, L.P. (filed herewith)</w:t>
            </w:r>
          </w:p>
        </w:tc>
        <w:tc>
          <w:tcPr>
            <w:tcW w:w="1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31.1</w:t>
            </w:r>
          </w:p>
        </w:tc>
        <w:tc>
          <w:tcPr>
            <w:tcW w:w="7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Brandywine Realty Trust pursuant to 13a-14(a) and</w:t>
            </w:r>
          </w:p>
        </w:tc>
      </w:tr>
      <w:tr>
        <w:trPr>
          <w:trHeight w:val="155"/>
        </w:trPr>
        <w:tc>
          <w:tcPr>
            <w:tcW w:w="120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(filed herewith)</w:t>
            </w:r>
          </w:p>
        </w:tc>
        <w:tc>
          <w:tcPr>
            <w:tcW w:w="2080" w:type="dxa"/>
            <w:vAlign w:val="bottom"/>
            <w:tcBorders>
              <w:top w:val="single" w:sz="8" w:color="0000FF"/>
            </w:tcBorders>
            <w:gridSpan w:val="2"/>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23"/>
        </w:trPr>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31.2</w:t>
            </w:r>
          </w:p>
        </w:tc>
        <w:tc>
          <w:tcPr>
            <w:tcW w:w="7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Brandywine Realty Trust pursuant to 13a-14(a) and</w:t>
            </w:r>
          </w:p>
        </w:tc>
      </w:tr>
      <w:tr>
        <w:trPr>
          <w:trHeight w:val="156"/>
        </w:trPr>
        <w:tc>
          <w:tcPr>
            <w:tcW w:w="120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(filed herewith)</w:t>
            </w:r>
          </w:p>
        </w:tc>
        <w:tc>
          <w:tcPr>
            <w:tcW w:w="2020" w:type="dxa"/>
            <w:vAlign w:val="bottom"/>
            <w:tcBorders>
              <w:top w:val="single" w:sz="8" w:color="0000FF"/>
            </w:tcBorders>
          </w:tcPr>
          <w:p>
            <w:pPr>
              <w:spacing w:after="0"/>
              <w:rPr>
                <w:sz w:val="13"/>
                <w:szCs w:val="13"/>
                <w:color w:val="auto"/>
              </w:rPr>
            </w:pPr>
          </w:p>
        </w:tc>
        <w:tc>
          <w:tcPr>
            <w:tcW w:w="260" w:type="dxa"/>
            <w:vAlign w:val="bottom"/>
            <w:gridSpan w:val="3"/>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119"/>
          </w:cols>
          <w:pgMar w:left="340" w:top="1215" w:right="1440" w:bottom="771" w:gutter="0" w:footer="0" w:header="0"/>
        </w:sectPr>
      </w:pP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15" w:right="1440" w:bottom="771" w:gutter="0" w:footer="0" w:header="0"/>
          <w:type w:val="continuous"/>
        </w:sectPr>
      </w:pPr>
    </w:p>
    <w:bookmarkStart w:id="59" w:name="page60"/>
    <w:bookmarkEnd w:id="59"/>
    <w:tbl>
      <w:tblPr>
        <w:tblLayout w:type="fixed"/>
        <w:tblInd w:w="12"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Brandywine Realty Trust, in its capacity as the general</w:t>
            </w:r>
          </w:p>
        </w:tc>
      </w:tr>
      <w:tr>
        <w:trPr>
          <w:trHeight w:val="155"/>
        </w:trPr>
        <w:tc>
          <w:tcPr>
            <w:tcW w:w="1200" w:type="dxa"/>
            <w:vAlign w:val="bottom"/>
          </w:tcPr>
          <w:p>
            <w:pPr>
              <w:spacing w:after="0"/>
              <w:rPr>
                <w:sz w:val="13"/>
                <w:szCs w:val="13"/>
                <w:color w:val="auto"/>
              </w:rPr>
            </w:pPr>
          </w:p>
        </w:tc>
        <w:tc>
          <w:tcPr>
            <w:tcW w:w="73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partner of Brandywine Operating Partnership, L.P., pursuant to 13a-14(a) and 15d-14(a) under the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70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(filed herewith)</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Brandywine Realty Trust, in its capacity as the general</w:t>
            </w:r>
          </w:p>
        </w:tc>
      </w:tr>
      <w:tr>
        <w:trPr>
          <w:trHeight w:val="156"/>
        </w:trPr>
        <w:tc>
          <w:tcPr>
            <w:tcW w:w="1200" w:type="dxa"/>
            <w:vAlign w:val="bottom"/>
          </w:tcPr>
          <w:p>
            <w:pPr>
              <w:spacing w:after="0"/>
              <w:rPr>
                <w:sz w:val="13"/>
                <w:szCs w:val="13"/>
                <w:color w:val="auto"/>
              </w:rPr>
            </w:pPr>
          </w:p>
        </w:tc>
        <w:tc>
          <w:tcPr>
            <w:tcW w:w="72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partner of Brandywine Operating Partnership, L.P., pursuant to 13a-14(a) and 15d-14(a) under the</w:t>
            </w: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70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(filed herewith)</w:t>
            </w:r>
          </w:p>
        </w:tc>
        <w:tc>
          <w:tcPr>
            <w:tcW w:w="1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of Brandywine Realty Trust pursuant to 18 U.S.C. Section</w:t>
            </w:r>
          </w:p>
        </w:tc>
      </w:tr>
      <w:tr>
        <w:trPr>
          <w:trHeight w:val="156"/>
        </w:trPr>
        <w:tc>
          <w:tcPr>
            <w:tcW w:w="120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Sarbanes-Oxley Act of 2002 (filed herewith)</w:t>
            </w:r>
          </w:p>
        </w:tc>
        <w:tc>
          <w:tcPr>
            <w:tcW w:w="6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Brandywine Realty Trust pursuant to 18 U.S.C. Section</w:t>
            </w:r>
          </w:p>
        </w:tc>
      </w:tr>
      <w:tr>
        <w:trPr>
          <w:trHeight w:val="156"/>
        </w:trPr>
        <w:tc>
          <w:tcPr>
            <w:tcW w:w="120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Sarbanes-Oxley Act of 2002 (filed herewith)</w:t>
            </w:r>
          </w:p>
        </w:tc>
        <w:tc>
          <w:tcPr>
            <w:tcW w:w="5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Brandywine Realty Trust, in its capacity as the general</w:t>
            </w:r>
          </w:p>
        </w:tc>
      </w:tr>
      <w:tr>
        <w:trPr>
          <w:trHeight w:val="155"/>
        </w:trPr>
        <w:tc>
          <w:tcPr>
            <w:tcW w:w="1200" w:type="dxa"/>
            <w:vAlign w:val="bottom"/>
          </w:tcPr>
          <w:p>
            <w:pPr>
              <w:spacing w:after="0"/>
              <w:rPr>
                <w:sz w:val="13"/>
                <w:szCs w:val="13"/>
                <w:color w:val="auto"/>
              </w:rPr>
            </w:pPr>
          </w:p>
        </w:tc>
        <w:tc>
          <w:tcPr>
            <w:tcW w:w="73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partner of Brandywine Operating Partnership, L.P., pursuant to 18 U.S.C. Section 1350, as Adopted</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71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 (filed herewith)</w:t>
            </w: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32.4</w:t>
            </w:r>
          </w:p>
        </w:tc>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Brandywine Realty Trust, in its capacity as the general</w:t>
            </w:r>
          </w:p>
        </w:tc>
      </w:tr>
      <w:tr>
        <w:trPr>
          <w:trHeight w:val="156"/>
        </w:trPr>
        <w:tc>
          <w:tcPr>
            <w:tcW w:w="1200" w:type="dxa"/>
            <w:vAlign w:val="bottom"/>
          </w:tcPr>
          <w:p>
            <w:pPr>
              <w:spacing w:after="0"/>
              <w:rPr>
                <w:sz w:val="13"/>
                <w:szCs w:val="13"/>
                <w:color w:val="auto"/>
              </w:rPr>
            </w:pPr>
          </w:p>
        </w:tc>
        <w:tc>
          <w:tcPr>
            <w:tcW w:w="72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partner of Brandywine Operating Partnership, L.P., pursuant to 18 U.S.C. Section 1350, as Adopted</w:t>
            </w: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71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 (filed herewith)</w:t>
            </w: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400" w:type="dxa"/>
            <w:vAlign w:val="bottom"/>
            <w:gridSpan w:val="1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Brandywine Realty Trust Dodd-Frank Clawback Policy, effective October 2, 2023 (previously filed as</w:t>
              </w:r>
            </w:hyperlink>
          </w:p>
        </w:tc>
      </w:tr>
      <w:tr>
        <w:trPr>
          <w:trHeight w:val="156"/>
        </w:trPr>
        <w:tc>
          <w:tcPr>
            <w:tcW w:w="1200" w:type="dxa"/>
            <w:vAlign w:val="bottom"/>
          </w:tcPr>
          <w:p>
            <w:pPr>
              <w:spacing w:after="0"/>
              <w:rPr>
                <w:sz w:val="13"/>
                <w:szCs w:val="13"/>
                <w:color w:val="auto"/>
              </w:rPr>
            </w:pPr>
          </w:p>
        </w:tc>
        <w:tc>
          <w:tcPr>
            <w:tcW w:w="73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an exhibit to Brandywine Realty Trust’s Form 10-K for the year ended December 31, 2023 and</w:t>
              </w:r>
            </w:hyperlink>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26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herein by reference)</w:t>
              </w:r>
            </w:hyperlink>
          </w:p>
        </w:tc>
        <w:tc>
          <w:tcPr>
            <w:tcW w:w="4200" w:type="dxa"/>
            <w:vAlign w:val="bottom"/>
            <w:tcBorders>
              <w:top w:val="single" w:sz="8" w:color="0000FF"/>
            </w:tcBorders>
            <w:gridSpan w:val="5"/>
          </w:tcPr>
          <w:p>
            <w:pPr>
              <w:spacing w:after="0"/>
              <w:rPr>
                <w:sz w:val="13"/>
                <w:szCs w:val="13"/>
                <w:color w:val="auto"/>
              </w:rPr>
            </w:pPr>
          </w:p>
        </w:tc>
        <w:tc>
          <w:tcPr>
            <w:tcW w:w="560" w:type="dxa"/>
            <w:vAlign w:val="bottom"/>
            <w:gridSpan w:val="8"/>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Material Federal Income Tax Considerations (filed herewith)</w:t>
            </w:r>
          </w:p>
        </w:tc>
        <w:tc>
          <w:tcPr>
            <w:tcW w:w="3000" w:type="dxa"/>
            <w:vAlign w:val="bottom"/>
            <w:gridSpan w:val="11"/>
          </w:tcPr>
          <w:p>
            <w:pPr>
              <w:spacing w:after="0"/>
              <w:rPr>
                <w:sz w:val="19"/>
                <w:szCs w:val="19"/>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The following materials from the Annual Reports on Form 10-K of Brandywine Realty Trust and</w:t>
            </w:r>
          </w:p>
        </w:tc>
      </w:tr>
      <w:tr>
        <w:trPr>
          <w:trHeight w:val="176"/>
        </w:trPr>
        <w:tc>
          <w:tcPr>
            <w:tcW w:w="1200" w:type="dxa"/>
            <w:vAlign w:val="bottom"/>
          </w:tcPr>
          <w:p>
            <w:pPr>
              <w:spacing w:after="0"/>
              <w:rPr>
                <w:sz w:val="15"/>
                <w:szCs w:val="15"/>
                <w:color w:val="auto"/>
              </w:rPr>
            </w:pPr>
          </w:p>
        </w:tc>
        <w:tc>
          <w:tcPr>
            <w:tcW w:w="7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Brandywine Operating Partnership, L.P. for the year ended December 31, 2025 formatted in XBRL</w:t>
            </w:r>
          </w:p>
        </w:tc>
      </w:tr>
      <w:tr>
        <w:trPr>
          <w:trHeight w:val="204"/>
        </w:trPr>
        <w:tc>
          <w:tcPr>
            <w:tcW w:w="1200" w:type="dxa"/>
            <w:vAlign w:val="bottom"/>
          </w:tcPr>
          <w:p>
            <w:pPr>
              <w:spacing w:after="0"/>
              <w:rPr>
                <w:sz w:val="17"/>
                <w:szCs w:val="17"/>
                <w:color w:val="auto"/>
              </w:rPr>
            </w:pPr>
          </w:p>
        </w:tc>
        <w:tc>
          <w:tcPr>
            <w:tcW w:w="740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auto"/>
              </w:rPr>
              <w:t>(eXtensible Business Reporting Language): (i) the Consolidated Balance Sheets, (ii) the Consolidated</w:t>
            </w:r>
          </w:p>
        </w:tc>
      </w:tr>
    </w:tbl>
    <w:p>
      <w:pPr>
        <w:ind w:left="1212" w:right="1559"/>
        <w:spacing w:after="0" w:line="218" w:lineRule="auto"/>
        <w:rPr>
          <w:sz w:val="20"/>
          <w:szCs w:val="20"/>
          <w:color w:val="auto"/>
        </w:rPr>
      </w:pPr>
      <w:r>
        <w:rPr>
          <w:rFonts w:ascii="Times New Roman" w:cs="Times New Roman" w:eastAsia="Times New Roman" w:hAnsi="Times New Roman"/>
          <w:sz w:val="18"/>
          <w:szCs w:val="18"/>
          <w:color w:val="auto"/>
        </w:rPr>
        <w:t>Statements of Operations, (iii) the Consolidated Statement of Equity, (iv) the Consolidated Statements of Cash Flows, and (v) Notes to Consolidated Financial Statements, detailed tagged and filed herewith.</w:t>
      </w:r>
    </w:p>
    <w:p>
      <w:pPr>
        <w:spacing w:after="0" w:line="10" w:lineRule="exact"/>
        <w:rPr>
          <w:sz w:val="20"/>
          <w:szCs w:val="20"/>
          <w:color w:val="auto"/>
        </w:rPr>
      </w:pPr>
    </w:p>
    <w:p>
      <w:pPr>
        <w:ind w:left="1212" w:right="2139" w:hanging="1194"/>
        <w:spacing w:after="0" w:line="237" w:lineRule="auto"/>
        <w:tabs>
          <w:tab w:leader="none" w:pos="12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18" w:lineRule="exact"/>
        <w:rPr>
          <w:sz w:val="20"/>
          <w:szCs w:val="20"/>
          <w:color w:val="auto"/>
        </w:rPr>
      </w:pPr>
    </w:p>
    <w:p>
      <w:pPr>
        <w:ind w:left="612" w:hanging="594"/>
        <w:spacing w:after="0"/>
        <w:tabs>
          <w:tab w:leader="none" w:pos="61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9"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 See Item 15 (a) and (b) above</w:t>
      </w:r>
    </w:p>
    <w:p>
      <w:pPr>
        <w:spacing w:after="0" w:line="200" w:lineRule="exact"/>
        <w:rPr>
          <w:sz w:val="20"/>
          <w:szCs w:val="20"/>
          <w:color w:val="auto"/>
        </w:rPr>
      </w:pPr>
    </w:p>
    <w:p>
      <w:pPr>
        <w:spacing w:after="0" w:line="359"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215" w:right="1440" w:bottom="1440" w:gutter="0" w:footer="0" w:header="0"/>
        </w:sectPr>
      </w:pPr>
    </w:p>
    <w:bookmarkStart w:id="60" w:name="page61"/>
    <w:bookmarkEnd w:id="6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BRANDYWINE REALTY TRUST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Gerard H. Sweeney</w:t>
            </w:r>
          </w:p>
        </w:tc>
      </w:tr>
      <w:tr>
        <w:trPr>
          <w:trHeight w:val="237"/>
        </w:trPr>
        <w:tc>
          <w:tcPr>
            <w:tcW w:w="56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Gerard H. Sweeney</w:t>
            </w:r>
          </w:p>
        </w:tc>
      </w:tr>
      <w:tr>
        <w:trPr>
          <w:trHeight w:val="257"/>
        </w:trPr>
        <w:tc>
          <w:tcPr>
            <w:tcW w:w="560" w:type="dxa"/>
            <w:vAlign w:val="bottom"/>
          </w:tcPr>
          <w:p>
            <w:pPr>
              <w:spacing w:after="0"/>
              <w:rPr>
                <w:sz w:val="22"/>
                <w:szCs w:val="22"/>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089" w:right="339" w:bottom="1440" w:gutter="0" w:footer="0" w:header="0"/>
        </w:sect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0142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James C. Diggs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142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5">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James C. Diggs</w:t>
      </w:r>
    </w:p>
    <w:p>
      <w:pPr>
        <w:spacing w:after="0" w:line="3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142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5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3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142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5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Thomas E. Wirth</w:t>
      </w:r>
    </w:p>
    <w:p>
      <w:pPr>
        <w:spacing w:after="0" w:line="3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Daniel Palazzo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142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5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Daniel Palazzo</w:t>
      </w:r>
    </w:p>
    <w:p>
      <w:pPr>
        <w:spacing w:after="0" w:line="3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Reginald DesRoches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142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5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Reginald DesRoches</w:t>
      </w:r>
    </w:p>
    <w:p>
      <w:pPr>
        <w:spacing w:after="0" w:line="32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Joan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142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Joan Lau</w:t>
      </w:r>
    </w:p>
    <w:p>
      <w:pPr>
        <w:spacing w:after="0" w:line="32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Charles P.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142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Charles P. Pizzi</w:t>
      </w:r>
    </w:p>
    <w:p>
      <w:pPr>
        <w:spacing w:after="0" w:line="3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color w:val="auto"/>
        </w:rPr>
        <w:t>/s/ H. Richard Haverstick,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0142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2">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4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H. Richard Haverstick, Jr.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19685</wp:posOffset>
            </wp:positionV>
            <wp:extent cx="3488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Chairman of the Board and Trustee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Trustee (Principal Executive</w:t>
      </w:r>
    </w:p>
    <w:p>
      <w:pPr>
        <w:jc w:val="center"/>
        <w:spacing w:after="0"/>
        <w:rPr>
          <w:sz w:val="20"/>
          <w:szCs w:val="20"/>
          <w:color w:val="auto"/>
        </w:rPr>
      </w:pPr>
      <w:r>
        <w:rPr>
          <w:rFonts w:ascii="Times New Roman" w:cs="Times New Roman" w:eastAsia="Times New Roman" w:hAnsi="Times New Roman"/>
          <w:sz w:val="18"/>
          <w:szCs w:val="18"/>
          <w:color w:val="auto"/>
        </w:rPr>
        <w:t>Officer)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 Financial</w:t>
      </w:r>
    </w:p>
    <w:p>
      <w:pPr>
        <w:jc w:val="center"/>
        <w:spacing w:after="0"/>
        <w:rPr>
          <w:sz w:val="20"/>
          <w:szCs w:val="20"/>
          <w:color w:val="auto"/>
        </w:rPr>
      </w:pPr>
      <w:r>
        <w:rPr>
          <w:rFonts w:ascii="Times New Roman" w:cs="Times New Roman" w:eastAsia="Times New Roman" w:hAnsi="Times New Roman"/>
          <w:sz w:val="18"/>
          <w:szCs w:val="18"/>
          <w:color w:val="auto"/>
        </w:rPr>
        <w:t>Officer)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Senior Vice President and Chief Accounting Officer (Principal Accounting</w:t>
      </w:r>
    </w:p>
    <w:p>
      <w:pPr>
        <w:jc w:val="center"/>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19685</wp:posOffset>
            </wp:positionV>
            <wp:extent cx="14916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pacing w:after="0" w:line="360" w:lineRule="exact"/>
        <w:rPr>
          <w:sz w:val="20"/>
          <w:szCs w:val="20"/>
          <w:color w:val="auto"/>
        </w:rPr>
      </w:pPr>
    </w:p>
    <w:p>
      <w:pPr>
        <w:sectPr>
          <w:pgSz w:w="11900" w:h="16838" w:orient="portrait"/>
          <w:cols w:equalWidth="0" w:num="3">
            <w:col w:w="2640" w:space="700"/>
            <w:col w:w="5400" w:space="660"/>
            <w:col w:w="1840"/>
          </w:cols>
          <w:pgMar w:left="32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BRANDYWINE OPERATING PARTNERSHIP, L.P.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Brandywine Realty Trust, its General Partner</w:t>
            </w: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Gerard H. Sweeney</w:t>
            </w:r>
          </w:p>
        </w:tc>
      </w:tr>
      <w:tr>
        <w:trPr>
          <w:trHeight w:val="27"/>
        </w:trPr>
        <w:tc>
          <w:tcPr>
            <w:tcW w:w="5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8"/>
        </w:trPr>
        <w:tc>
          <w:tcPr>
            <w:tcW w:w="58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Gerard H. Sweeney</w:t>
            </w:r>
          </w:p>
        </w:tc>
      </w:tr>
      <w:tr>
        <w:trPr>
          <w:trHeight w:val="238"/>
        </w:trPr>
        <w:tc>
          <w:tcPr>
            <w:tcW w:w="5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089" w:right="339" w:bottom="1440" w:gutter="0" w:footer="0" w:header="0"/>
        </w:sectPr>
      </w:pP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057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0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James Diggs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574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James Diggs</w:t>
      </w:r>
    </w:p>
    <w:p>
      <w:pPr>
        <w:spacing w:after="0" w:line="30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57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30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57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Thomas E. Wirth</w:t>
      </w:r>
    </w:p>
    <w:p>
      <w:pPr>
        <w:spacing w:after="0" w:line="30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Daniel Palazzo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57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Daniel Palazzo</w:t>
      </w:r>
    </w:p>
    <w:p>
      <w:pPr>
        <w:spacing w:after="0" w:line="30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Reginald DesRoches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574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Reginald DesRoches</w:t>
      </w:r>
    </w:p>
    <w:p>
      <w:pPr>
        <w:spacing w:after="0" w:line="3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Joan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57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Joan Lau</w:t>
      </w:r>
    </w:p>
    <w:p>
      <w:pPr>
        <w:spacing w:after="0" w:line="3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Charles P.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57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Charles P. Pizzi</w:t>
      </w:r>
    </w:p>
    <w:p>
      <w:pPr>
        <w:spacing w:after="0" w:line="30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H. Richard Haverstick,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574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H. Richard Haverstick, Jr.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614"/>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Chairman of the Board and Trustee</w:t>
            </w:r>
          </w:p>
        </w:tc>
        <w:tc>
          <w:tcPr>
            <w:tcW w:w="2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r>
        <w:trPr>
          <w:trHeight w:val="648"/>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President, Chief Executive Officer and Trustee (Principal Executive</w:t>
            </w:r>
          </w:p>
        </w:tc>
        <w:tc>
          <w:tcPr>
            <w:tcW w:w="21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r>
        <w:trPr>
          <w:trHeight w:val="149"/>
        </w:trPr>
        <w:tc>
          <w:tcPr>
            <w:tcW w:w="57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Officer)</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70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2"/>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 (Principal Financial</w:t>
            </w:r>
          </w:p>
        </w:tc>
        <w:tc>
          <w:tcPr>
            <w:tcW w:w="21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r>
        <w:trPr>
          <w:trHeight w:val="149"/>
        </w:trPr>
        <w:tc>
          <w:tcPr>
            <w:tcW w:w="57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Officer)</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70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2"/>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 (Principal</w:t>
            </w:r>
          </w:p>
        </w:tc>
        <w:tc>
          <w:tcPr>
            <w:tcW w:w="21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r>
        <w:trPr>
          <w:trHeight w:val="149"/>
        </w:trPr>
        <w:tc>
          <w:tcPr>
            <w:tcW w:w="57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70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1"/>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Trustee</w:t>
            </w:r>
          </w:p>
        </w:tc>
        <w:tc>
          <w:tcPr>
            <w:tcW w:w="2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r>
        <w:trPr>
          <w:trHeight w:val="783"/>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Trustee</w:t>
            </w:r>
          </w:p>
        </w:tc>
        <w:tc>
          <w:tcPr>
            <w:tcW w:w="2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r>
        <w:trPr>
          <w:trHeight w:val="783"/>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Trustee</w:t>
            </w:r>
          </w:p>
        </w:tc>
        <w:tc>
          <w:tcPr>
            <w:tcW w:w="2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r>
        <w:trPr>
          <w:trHeight w:val="770"/>
        </w:trPr>
        <w:tc>
          <w:tcPr>
            <w:tcW w:w="5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Trustee</w:t>
            </w:r>
          </w:p>
        </w:tc>
        <w:tc>
          <w:tcPr>
            <w:tcW w:w="2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2680" w:space="680"/>
            <w:col w:w="7880"/>
          </w:cols>
          <w:pgMar w:left="32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3" w:name="page64"/>
    <w:bookmarkEnd w:id="63"/>
    <w:p>
      <w:pPr>
        <w:ind w:left="2660"/>
        <w:spacing w:after="0"/>
        <w:rPr>
          <w:sz w:val="20"/>
          <w:szCs w:val="20"/>
          <w:color w:val="auto"/>
        </w:rPr>
      </w:pPr>
      <w:r>
        <w:rPr>
          <w:rFonts w:ascii="Georgia" w:cs="Georgia" w:eastAsia="Georgia" w:hAnsi="Georgia"/>
          <w:sz w:val="20"/>
          <w:szCs w:val="20"/>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Georgia" w:cs="Georgia" w:eastAsia="Georgia" w:hAnsi="Georgia"/>
          <w:sz w:val="20"/>
          <w:szCs w:val="20"/>
          <w:color w:val="auto"/>
        </w:rPr>
        <w:t>To the Board of Trustees and Shareholders of Brandywine Realty Trust</w:t>
      </w:r>
    </w:p>
    <w:p>
      <w:pPr>
        <w:spacing w:after="0" w:line="15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Opinions on the Financial Statements and Internal Control over Financial Reporting</w:t>
      </w:r>
    </w:p>
    <w:p>
      <w:pPr>
        <w:spacing w:after="0" w:line="222"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We have audited the accompanying consolidated balance sheets of Brandywine Realty Trust and its subsidiaries (the "Company") as of December 31, 2025 and 2024, and the related consolidated statements of operations, of comprehensive income, of beneficiaries' equity and of cash flows for each of the three years in the period ended December 31, 2025, including the related notes and financial statement schedules listed in the index appearing under Item 15(a)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26"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20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Basis for Opinions</w:t>
      </w:r>
    </w:p>
    <w:p>
      <w:pPr>
        <w:spacing w:after="0" w:line="236" w:lineRule="exact"/>
        <w:rPr>
          <w:sz w:val="20"/>
          <w:szCs w:val="20"/>
          <w:color w:val="auto"/>
        </w:rPr>
      </w:pPr>
    </w:p>
    <w:p>
      <w:pPr>
        <w:jc w:val="both"/>
        <w:spacing w:after="0" w:line="248" w:lineRule="auto"/>
        <w:rPr>
          <w:sz w:val="20"/>
          <w:szCs w:val="20"/>
          <w:color w:val="auto"/>
        </w:rPr>
      </w:pPr>
      <w:r>
        <w:rPr>
          <w:rFonts w:ascii="Georgia" w:cs="Georgia" w:eastAsia="Georgia" w:hAnsi="Georgia"/>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3"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4"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64" w:name="page65"/>
    <w:bookmarkEnd w:id="64"/>
    <w:p>
      <w:pPr>
        <w:spacing w:after="0"/>
        <w:rPr>
          <w:sz w:val="20"/>
          <w:szCs w:val="20"/>
          <w:color w:val="auto"/>
        </w:rPr>
      </w:pPr>
      <w:r>
        <w:rPr>
          <w:rFonts w:ascii="Georgia" w:cs="Georgia" w:eastAsia="Georgia" w:hAnsi="Georgia"/>
          <w:sz w:val="20"/>
          <w:szCs w:val="20"/>
          <w:b w:val="1"/>
          <w:bCs w:val="1"/>
          <w:i w:val="1"/>
          <w:iCs w:val="1"/>
          <w:color w:val="auto"/>
        </w:rPr>
        <w:t>Definition and Limitations of Internal Control over Financial Reporting</w:t>
      </w:r>
    </w:p>
    <w:p>
      <w:pPr>
        <w:spacing w:after="0" w:line="236" w:lineRule="exact"/>
        <w:rPr>
          <w:sz w:val="20"/>
          <w:szCs w:val="20"/>
          <w:color w:val="auto"/>
        </w:rPr>
      </w:pPr>
    </w:p>
    <w:p>
      <w:pPr>
        <w:jc w:val="both"/>
        <w:spacing w:after="0" w:line="260" w:lineRule="auto"/>
        <w:rPr>
          <w:sz w:val="20"/>
          <w:szCs w:val="20"/>
          <w:color w:val="auto"/>
        </w:rPr>
      </w:pPr>
      <w:r>
        <w:rPr>
          <w:rFonts w:ascii="Georgia" w:cs="Georgia" w:eastAsia="Georgia" w:hAnsi="Georgia"/>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firstLine="8"/>
        <w:spacing w:after="0" w:line="270" w:lineRule="auto"/>
        <w:tabs>
          <w:tab w:leader="none" w:pos="258" w:val="left"/>
        </w:tabs>
        <w:numPr>
          <w:ilvl w:val="0"/>
          <w:numId w:val="40"/>
        </w:numPr>
        <w:rPr>
          <w:rFonts w:ascii="Georgia" w:cs="Georgia" w:eastAsia="Georgia" w:hAnsi="Georgia"/>
          <w:sz w:val="19"/>
          <w:szCs w:val="19"/>
          <w:color w:val="auto"/>
        </w:rPr>
      </w:pPr>
      <w:r>
        <w:rPr>
          <w:rFonts w:ascii="Georgia" w:cs="Georgia" w:eastAsia="Georgia" w:hAnsi="Georgia"/>
          <w:sz w:val="19"/>
          <w:szCs w:val="19"/>
          <w:color w:val="auto"/>
        </w:rPr>
        <w:t>pertain to the maintenance of records that, in reasonable detail, accurately and fairly reflect the transactions and dispositions of the assets of the company; (ii) provide reasonable assurance that transactions are recorded as necessary to permit preparation</w:t>
      </w:r>
    </w:p>
    <w:p>
      <w:pPr>
        <w:jc w:val="both"/>
        <w:spacing w:after="0" w:line="262" w:lineRule="auto"/>
        <w:rPr>
          <w:rFonts w:ascii="Georgia" w:cs="Georgia" w:eastAsia="Georgia" w:hAnsi="Georgia"/>
          <w:sz w:val="19"/>
          <w:szCs w:val="19"/>
          <w:color w:val="auto"/>
        </w:rPr>
      </w:pPr>
      <w:r>
        <w:rPr>
          <w:rFonts w:ascii="Georgia" w:cs="Georgia" w:eastAsia="Georgia" w:hAnsi="Georgia"/>
          <w:sz w:val="19"/>
          <w:szCs w:val="19"/>
          <w:color w:val="auto"/>
        </w:rPr>
        <w:t>of financial statements in accordance with generally accepted accounting principles, and that receipts and expenditures of the company are being made only in accordance with authorizations of management and directors of the company; and (iii) provide</w:t>
      </w:r>
    </w:p>
    <w:p>
      <w:pPr>
        <w:spacing w:after="0" w:line="1" w:lineRule="exact"/>
        <w:rPr>
          <w:rFonts w:ascii="Georgia" w:cs="Georgia" w:eastAsia="Georgia" w:hAnsi="Georgia"/>
          <w:sz w:val="19"/>
          <w:szCs w:val="19"/>
          <w:color w:val="auto"/>
        </w:rPr>
      </w:pPr>
    </w:p>
    <w:p>
      <w:pPr>
        <w:ind w:right="20"/>
        <w:spacing w:after="0" w:line="239" w:lineRule="auto"/>
        <w:rPr>
          <w:rFonts w:ascii="Georgia" w:cs="Georgia" w:eastAsia="Georgia" w:hAnsi="Georgia"/>
          <w:sz w:val="19"/>
          <w:szCs w:val="19"/>
          <w:color w:val="auto"/>
        </w:rPr>
      </w:pPr>
      <w:r>
        <w:rPr>
          <w:rFonts w:ascii="Georgia" w:cs="Georgia" w:eastAsia="Georgia" w:hAnsi="Georgia"/>
          <w:sz w:val="20"/>
          <w:szCs w:val="20"/>
          <w:color w:val="auto"/>
        </w:rPr>
        <w:t>reasonable assurance regarding prevention or timely detection of unauthorized acquisition, use, or disposition of the company’s assets that could have a material effect on the financial statements.</w:t>
      </w:r>
    </w:p>
    <w:p>
      <w:pPr>
        <w:spacing w:after="0" w:line="236" w:lineRule="exact"/>
        <w:rPr>
          <w:sz w:val="20"/>
          <w:szCs w:val="20"/>
          <w:color w:val="auto"/>
        </w:rPr>
      </w:pPr>
    </w:p>
    <w:p>
      <w:pPr>
        <w:jc w:val="both"/>
        <w:spacing w:after="0" w:line="247" w:lineRule="auto"/>
        <w:rPr>
          <w:sz w:val="20"/>
          <w:szCs w:val="20"/>
          <w:color w:val="auto"/>
        </w:rPr>
      </w:pPr>
      <w:r>
        <w:rPr>
          <w:rFonts w:ascii="Georgia" w:cs="Georgia" w:eastAsia="Georgia" w:hAnsi="Georgia"/>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Critical Audit Matters</w:t>
      </w:r>
    </w:p>
    <w:p>
      <w:pPr>
        <w:spacing w:after="0" w:line="222"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auto"/>
        </w:rPr>
        <w:t>Impairment Assessments of Certain Real Estate Investments</w:t>
      </w:r>
    </w:p>
    <w:p>
      <w:pPr>
        <w:spacing w:after="0" w:line="222"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As described in Notes 2 and 3 to the consolidated financial statements, as of December 31, 2025, the Company’s gross carrying value of real estate investments - operating properties was $3,753.8 million. For the year ended December 31, 2025, the Company recorded impairment losses of $63.4 million related to real estate investments, of which $34.1 million related to certain real estate investments held for use as of December 31, 2025 (“certain real estate investments”). Management reviews real estate investments for impairment following the end of each quarter for each of its real estate investments where events or changes in circumstances indicate that the carrying amounts may not be recoverable. Management analyzes recoverability based on the estimated undiscounted future cash flows expected to be generated from the operations and eventual disposition of the assets over a holding period. If the recoverability analysis indicates that the carrying value of a real estate investment is not recoverable, the real estate investment is written down to its estimated fair value and an impairment is recognized in the amount of the excess of the carrying amount of the asset over its estimated fair value. The estimated fair value for certain real estate investments was determined by estimating discounted cash flows using significant unobservable inputs, which were the discount rate and the residual capitalization rate.</w:t>
      </w:r>
    </w:p>
    <w:p>
      <w:pPr>
        <w:spacing w:after="0" w:line="226" w:lineRule="exact"/>
        <w:rPr>
          <w:sz w:val="20"/>
          <w:szCs w:val="20"/>
          <w:color w:val="auto"/>
        </w:rPr>
      </w:pPr>
    </w:p>
    <w:p>
      <w:pPr>
        <w:jc w:val="both"/>
        <w:spacing w:after="0" w:line="247" w:lineRule="auto"/>
        <w:rPr>
          <w:sz w:val="20"/>
          <w:szCs w:val="20"/>
          <w:color w:val="auto"/>
        </w:rPr>
      </w:pPr>
      <w:r>
        <w:rPr>
          <w:rFonts w:ascii="Georgia" w:cs="Georgia" w:eastAsia="Georgia" w:hAnsi="Georgia"/>
          <w:sz w:val="20"/>
          <w:szCs w:val="20"/>
          <w:color w:val="auto"/>
        </w:rPr>
        <w:t>The principal considerations for our determination that performing procedures relating to the impairment assessments of certain real estate investments is a critical audit matter are (i) the significant judgment by management when developing the estimated fair value of certain real estate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5" w:name="page66"/>
    <w:bookmarkEnd w:id="65"/>
    <w:p>
      <w:pPr>
        <w:jc w:val="both"/>
        <w:spacing w:after="0" w:line="252" w:lineRule="auto"/>
        <w:rPr>
          <w:sz w:val="20"/>
          <w:szCs w:val="20"/>
          <w:color w:val="auto"/>
        </w:rPr>
      </w:pPr>
      <w:r>
        <w:rPr>
          <w:rFonts w:ascii="Georgia" w:cs="Georgia" w:eastAsia="Georgia" w:hAnsi="Georgia"/>
          <w:sz w:val="20"/>
          <w:szCs w:val="20"/>
          <w:color w:val="auto"/>
        </w:rPr>
        <w:t>investments and (ii) a high degree of auditor judgment, subjectivity, and effort in performing procedures and evaluating management’s significant assumptions related to the discount rate and the residual capitalization rate.</w:t>
      </w:r>
    </w:p>
    <w:p>
      <w:pPr>
        <w:spacing w:after="0" w:line="211"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impairment assessments of certain real estate investments, including controls over the development of the estimated fair value of certain real estate investments. These procedures also included, among others, (i) testing management’s process for developing the estimated fair value of certain real estate investments; (ii) evaluating the appropriateness of the discounted cash flow model used by management; (iii) testing the completeness and accuracy of certain data used in the discounted cash flow model; and (iv) evaluating the reasonableness of the significant assumptions used by management related to the discount rate and the residual capitalization rate. Evaluating the reasonableness of the significant assumptions used by management involved considering external market and industry data and evidence obtained in other areas of the audit.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line="236" w:lineRule="auto"/>
        <w:rPr>
          <w:sz w:val="20"/>
          <w:szCs w:val="20"/>
          <w:color w:val="auto"/>
        </w:rPr>
      </w:pPr>
      <w:r>
        <w:rPr>
          <w:rFonts w:ascii="Georgia" w:cs="Georgia" w:eastAsia="Georgia" w:hAnsi="Georgia"/>
          <w:sz w:val="20"/>
          <w:szCs w:val="20"/>
          <w:color w:val="auto"/>
        </w:rPr>
        <w:t>Philadelphia, Pennsylvania</w:t>
      </w:r>
    </w:p>
    <w:p>
      <w:pPr>
        <w:spacing w:after="0" w:line="2" w:lineRule="exact"/>
        <w:rPr>
          <w:sz w:val="20"/>
          <w:szCs w:val="20"/>
          <w:color w:val="auto"/>
        </w:rPr>
      </w:pPr>
    </w:p>
    <w:p>
      <w:pPr>
        <w:spacing w:after="0"/>
        <w:rPr>
          <w:sz w:val="20"/>
          <w:szCs w:val="20"/>
          <w:color w:val="auto"/>
        </w:rPr>
      </w:pPr>
      <w:r>
        <w:rPr>
          <w:rFonts w:ascii="Georgia" w:cs="Georgia" w:eastAsia="Georgia" w:hAnsi="Georgia"/>
          <w:sz w:val="20"/>
          <w:szCs w:val="20"/>
          <w:color w:val="auto"/>
        </w:rPr>
        <w:t>February 23, 2026</w:t>
      </w:r>
    </w:p>
    <w:p>
      <w:pPr>
        <w:spacing w:after="0" w:line="245" w:lineRule="exact"/>
        <w:rPr>
          <w:sz w:val="20"/>
          <w:szCs w:val="20"/>
          <w:color w:val="auto"/>
        </w:rPr>
      </w:pPr>
    </w:p>
    <w:p>
      <w:pPr>
        <w:spacing w:after="0"/>
        <w:rPr>
          <w:sz w:val="20"/>
          <w:szCs w:val="20"/>
          <w:color w:val="auto"/>
        </w:rPr>
      </w:pPr>
      <w:r>
        <w:rPr>
          <w:rFonts w:ascii="Georgia" w:cs="Georgia" w:eastAsia="Georgia" w:hAnsi="Georgia"/>
          <w:sz w:val="20"/>
          <w:szCs w:val="20"/>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6" w:name="page67"/>
    <w:bookmarkEnd w:id="66"/>
    <w:p>
      <w:pPr>
        <w:spacing w:after="0" w:line="94"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Georgia" w:cs="Georgia" w:eastAsia="Georgia" w:hAnsi="Georgia"/>
          <w:sz w:val="20"/>
          <w:szCs w:val="20"/>
          <w:color w:val="auto"/>
        </w:rPr>
        <w:t>To the Partners of Brandywine Operating Partnership, L.P.</w:t>
      </w:r>
    </w:p>
    <w:p>
      <w:pPr>
        <w:spacing w:after="0" w:line="164"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Opinions on the Financial Statements and Internal Control over Financial Reporting</w:t>
      </w:r>
    </w:p>
    <w:p>
      <w:pPr>
        <w:spacing w:after="0" w:line="155" w:lineRule="exact"/>
        <w:rPr>
          <w:sz w:val="20"/>
          <w:szCs w:val="20"/>
          <w:color w:val="auto"/>
        </w:rPr>
      </w:pPr>
    </w:p>
    <w:p>
      <w:pPr>
        <w:jc w:val="both"/>
        <w:spacing w:after="0" w:line="248" w:lineRule="auto"/>
        <w:rPr>
          <w:sz w:val="20"/>
          <w:szCs w:val="20"/>
          <w:color w:val="auto"/>
        </w:rPr>
      </w:pPr>
      <w:r>
        <w:rPr>
          <w:rFonts w:ascii="Georgia" w:cs="Georgia" w:eastAsia="Georgia" w:hAnsi="Georgia"/>
          <w:sz w:val="20"/>
          <w:szCs w:val="20"/>
          <w:color w:val="auto"/>
        </w:rPr>
        <w:t xml:space="preserve">We have audited the accompanying consolidated balance sheets of Brandywine Operating Partnership, L.P. and its subsidiaries (the "Partnership") as of December 31, 2025 and 2024, and the related consolidated statements of operations, of comprehensive income, of partners' equity and of cash flows for each of the three years in the period ended December 31, 2025, including the related notes and financial statement schedules listed in the index appearing under Item 15(b) (collectively referred to as the "consolidated financial statements"). We also have audited the Partnership's internal control over financial reporting as of December 31, 2025, based on criteria established in </w:t>
      </w:r>
      <w:r>
        <w:rPr>
          <w:rFonts w:ascii="Georgia" w:cs="Georgia" w:eastAsia="Georgia" w:hAnsi="Georgia"/>
          <w:sz w:val="20"/>
          <w:szCs w:val="20"/>
          <w:i w:val="1"/>
          <w:iCs w:val="1"/>
          <w:color w:val="auto"/>
        </w:rPr>
        <w:t>Internal Control - Integrated Framework</w:t>
      </w:r>
      <w:r>
        <w:rPr>
          <w:rFonts w:ascii="Georgia" w:cs="Georgia" w:eastAsia="Georgia" w:hAnsi="Georgia"/>
          <w:sz w:val="20"/>
          <w:szCs w:val="20"/>
          <w:color w:val="auto"/>
        </w:rPr>
        <w:t xml:space="preserve"> (2013) issued by the Committee of Sponsoring Organizations of the Treadway Commission (COSO).</w:t>
      </w:r>
    </w:p>
    <w:p>
      <w:pPr>
        <w:spacing w:after="0" w:line="165"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 xml:space="preserve">In our opinion, the consolidated financial statements referred to above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Also in our opinion, the Partnership maintained, in all material respects, effective internal control over financial reporting as of December 31, 2025, based on criteria established in </w:t>
      </w:r>
      <w:r>
        <w:rPr>
          <w:rFonts w:ascii="Georgia" w:cs="Georgia" w:eastAsia="Georgia" w:hAnsi="Georgia"/>
          <w:sz w:val="20"/>
          <w:szCs w:val="20"/>
          <w:i w:val="1"/>
          <w:iCs w:val="1"/>
          <w:color w:val="auto"/>
        </w:rPr>
        <w:t>Internal Control - Integrated Framework</w:t>
      </w:r>
      <w:r>
        <w:rPr>
          <w:rFonts w:ascii="Georgia" w:cs="Georgia" w:eastAsia="Georgia" w:hAnsi="Georgia"/>
          <w:sz w:val="20"/>
          <w:szCs w:val="20"/>
          <w:color w:val="auto"/>
        </w:rPr>
        <w:t xml:space="preserve"> (2013) issued by the COSO.</w:t>
      </w:r>
    </w:p>
    <w:p>
      <w:pPr>
        <w:spacing w:after="0" w:line="14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Basis for Opinions</w:t>
      </w:r>
    </w:p>
    <w:p>
      <w:pPr>
        <w:spacing w:after="0" w:line="155"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45"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7" w:lineRule="exact"/>
        <w:rPr>
          <w:sz w:val="20"/>
          <w:szCs w:val="20"/>
          <w:color w:val="auto"/>
        </w:rPr>
      </w:pPr>
    </w:p>
    <w:p>
      <w:pPr>
        <w:jc w:val="both"/>
        <w:spacing w:after="0" w:line="249" w:lineRule="auto"/>
        <w:rPr>
          <w:sz w:val="20"/>
          <w:szCs w:val="20"/>
          <w:color w:val="auto"/>
        </w:rPr>
      </w:pPr>
      <w:r>
        <w:rPr>
          <w:rFonts w:ascii="Georgia" w:cs="Georgia" w:eastAsia="Georgia" w:hAnsi="Georgia"/>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52" w:lineRule="auto"/>
        <w:rPr>
          <w:sz w:val="20"/>
          <w:szCs w:val="20"/>
          <w:color w:val="auto"/>
        </w:rPr>
      </w:pPr>
      <w:r>
        <w:rPr>
          <w:rFonts w:ascii="Georgia" w:cs="Georgia" w:eastAsia="Georgia" w:hAnsi="Georgia"/>
          <w:sz w:val="20"/>
          <w:szCs w:val="20"/>
          <w:color w:val="auto"/>
        </w:rPr>
        <w:t>audits also included performing such other procedures as we considered necessary in the circumstances. We believe that our audits provide a reasonable basis for our opinions.</w:t>
      </w:r>
    </w:p>
    <w:p>
      <w:pPr>
        <w:spacing w:after="0" w:line="1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Definition and Limitations of Internal Control over Financial Reporting</w:t>
      </w:r>
    </w:p>
    <w:p>
      <w:pPr>
        <w:spacing w:after="0" w:line="155" w:lineRule="exact"/>
        <w:rPr>
          <w:sz w:val="20"/>
          <w:szCs w:val="20"/>
          <w:color w:val="auto"/>
        </w:rPr>
      </w:pPr>
    </w:p>
    <w:p>
      <w:pPr>
        <w:jc w:val="both"/>
        <w:spacing w:after="0" w:line="265" w:lineRule="auto"/>
        <w:rPr>
          <w:sz w:val="20"/>
          <w:szCs w:val="20"/>
          <w:color w:val="auto"/>
        </w:rPr>
      </w:pPr>
      <w:r>
        <w:rPr>
          <w:rFonts w:ascii="Georgia" w:cs="Georgia" w:eastAsia="Georgia" w:hAnsi="Georgia"/>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firstLine="8"/>
        <w:spacing w:after="0" w:line="265" w:lineRule="auto"/>
        <w:tabs>
          <w:tab w:leader="none" w:pos="258" w:val="left"/>
        </w:tabs>
        <w:numPr>
          <w:ilvl w:val="0"/>
          <w:numId w:val="41"/>
        </w:numPr>
        <w:rPr>
          <w:rFonts w:ascii="Georgia" w:cs="Georgia" w:eastAsia="Georgia" w:hAnsi="Georgia"/>
          <w:sz w:val="19"/>
          <w:szCs w:val="19"/>
          <w:color w:val="auto"/>
        </w:rPr>
      </w:pPr>
      <w:r>
        <w:rPr>
          <w:rFonts w:ascii="Georgia" w:cs="Georgia" w:eastAsia="Georgia" w:hAnsi="Georgia"/>
          <w:sz w:val="19"/>
          <w:szCs w:val="19"/>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w:t>
      </w:r>
    </w:p>
    <w:p>
      <w:pPr>
        <w:jc w:val="both"/>
        <w:ind w:right="20"/>
        <w:spacing w:after="0" w:line="247" w:lineRule="auto"/>
        <w:rPr>
          <w:rFonts w:ascii="Georgia" w:cs="Georgia" w:eastAsia="Georgia" w:hAnsi="Georgia"/>
          <w:sz w:val="19"/>
          <w:szCs w:val="19"/>
          <w:color w:val="auto"/>
        </w:rPr>
      </w:pPr>
      <w:r>
        <w:rPr>
          <w:rFonts w:ascii="Georgia" w:cs="Georgia" w:eastAsia="Georgia" w:hAnsi="Georgia"/>
          <w:sz w:val="20"/>
          <w:szCs w:val="20"/>
          <w:color w:val="auto"/>
        </w:rPr>
        <w:t>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47" w:lineRule="auto"/>
        <w:rPr>
          <w:sz w:val="20"/>
          <w:szCs w:val="20"/>
          <w:color w:val="auto"/>
        </w:rPr>
      </w:pPr>
      <w:r>
        <w:rPr>
          <w:rFonts w:ascii="Georgia" w:cs="Georgia" w:eastAsia="Georgia" w:hAnsi="Georgia"/>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Critical Audit Matters</w:t>
      </w:r>
    </w:p>
    <w:p>
      <w:pPr>
        <w:spacing w:after="0" w:line="155"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auto"/>
        </w:rPr>
        <w:t>Impairment Assessments of Certain Real Estate Investments</w:t>
      </w:r>
    </w:p>
    <w:p>
      <w:pPr>
        <w:spacing w:after="0" w:line="155"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As described in Notes 2 and 3 to the consolidated financial statements, as of December 31, 2025, the Partnership’s gross carrying value of real estate investments - operating properties was $3,753.8 million. For the year ended December 31, 2025, the Partnership recorded impairment losses of $63.4 million related to real estate investments, of which $34.1 million related to certain real estate investments held for use as of December 31, 2025 (“certain real estate investments”). Management reviews real estate investments for impairment following the end of each quarter for each of its real estate investments where events or changes in circumstances indicate that the carrying amounts may not be recoverable. Management analyzes recoverability based on the estimated undiscounted future cash flows expected to be generated from the operations and eventual disposition of the assets over a holding period. If the recoverability analysis indicates that the carrying value of a real estate investment is not recoverable, the real estate investment is written down to its estimated fair value and an impairment is recognized in the amount of the excess of the carrying amount of the asset over its estimated fair value. The estimated fair value for certain real estate investments was determined by estimating discounted cash flows using significant unobservable inputs, which were the discount rate and the residual capitalization rate.</w:t>
      </w:r>
    </w:p>
    <w:p>
      <w:pPr>
        <w:spacing w:after="0" w:line="145"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The principal considerations for our determination that performing procedures relating to the impairment assessments of certain real estate investments is a critical audit matter are (i) the significant judgment by management when developing the estimated fair value of certain real estate investments and (ii) a high degree of auditor judgment, subjectivity, and effort in performing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8" w:name="page69"/>
    <w:bookmarkEnd w:id="68"/>
    <w:p>
      <w:pPr>
        <w:jc w:val="both"/>
        <w:spacing w:after="0" w:line="252" w:lineRule="auto"/>
        <w:rPr>
          <w:sz w:val="20"/>
          <w:szCs w:val="20"/>
          <w:color w:val="auto"/>
        </w:rPr>
      </w:pPr>
      <w:r>
        <w:rPr>
          <w:rFonts w:ascii="Georgia" w:cs="Georgia" w:eastAsia="Georgia" w:hAnsi="Georgia"/>
          <w:sz w:val="20"/>
          <w:szCs w:val="20"/>
          <w:color w:val="auto"/>
        </w:rPr>
        <w:t>procedures and evaluating management’s significant assumptions related to the discount rate and the residual capitalization rate.</w:t>
      </w:r>
    </w:p>
    <w:p>
      <w:pPr>
        <w:spacing w:after="0" w:line="144" w:lineRule="exact"/>
        <w:rPr>
          <w:sz w:val="20"/>
          <w:szCs w:val="20"/>
          <w:color w:val="auto"/>
        </w:rPr>
      </w:pPr>
    </w:p>
    <w:p>
      <w:pPr>
        <w:jc w:val="both"/>
        <w:spacing w:after="0" w:line="250" w:lineRule="auto"/>
        <w:rPr>
          <w:sz w:val="20"/>
          <w:szCs w:val="20"/>
          <w:color w:val="auto"/>
        </w:rPr>
      </w:pPr>
      <w:r>
        <w:rPr>
          <w:rFonts w:ascii="Georgia" w:cs="Georgia" w:eastAsia="Georgia" w:hAnsi="Georgia"/>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impairment assessments of certain real estate investments, including controls over the development of the estimated fair value of certain real estate investments. These procedures also included, among others, (i) testing management’s process for developing the estimated fair value of certain real estate investments; (ii) evaluating the appropriateness of the discounted cash flow model used by management; (iii) testing the completeness and accuracy of certain data used in the discounted cash flow model; and (iv) evaluating the reasonableness of the significant assumptions used by management related to the discount rate and the residual capitalization rate. Evaluating the reasonableness of the significant assumptions used by management involved considering external market and industry data and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line="236" w:lineRule="auto"/>
        <w:rPr>
          <w:sz w:val="20"/>
          <w:szCs w:val="20"/>
          <w:color w:val="auto"/>
        </w:rPr>
      </w:pPr>
      <w:r>
        <w:rPr>
          <w:rFonts w:ascii="Georgia" w:cs="Georgia" w:eastAsia="Georgia" w:hAnsi="Georgia"/>
          <w:sz w:val="20"/>
          <w:szCs w:val="20"/>
          <w:color w:val="auto"/>
        </w:rPr>
        <w:t>Philadelphia, Pennsylvania</w:t>
      </w:r>
    </w:p>
    <w:p>
      <w:pPr>
        <w:spacing w:after="0" w:line="2" w:lineRule="exact"/>
        <w:rPr>
          <w:sz w:val="20"/>
          <w:szCs w:val="20"/>
          <w:color w:val="auto"/>
        </w:rPr>
      </w:pPr>
    </w:p>
    <w:p>
      <w:pPr>
        <w:spacing w:after="0"/>
        <w:rPr>
          <w:sz w:val="20"/>
          <w:szCs w:val="20"/>
          <w:color w:val="auto"/>
        </w:rPr>
      </w:pPr>
      <w:r>
        <w:rPr>
          <w:rFonts w:ascii="Georgia" w:cs="Georgia" w:eastAsia="Georgia" w:hAnsi="Georgia"/>
          <w:sz w:val="20"/>
          <w:szCs w:val="20"/>
          <w:color w:val="auto"/>
        </w:rPr>
        <w:t>February 23, 2026</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Georgia" w:cs="Georgia" w:eastAsia="Georgia" w:hAnsi="Georgia"/>
          <w:sz w:val="20"/>
          <w:szCs w:val="20"/>
          <w:color w:val="auto"/>
        </w:rPr>
        <w:t>We have served as the Partnership’s auditor since 2003.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848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Glossary</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Defined terms used in this Report:</w:t>
            </w:r>
          </w:p>
        </w:tc>
        <w:tc>
          <w:tcPr>
            <w:tcW w:w="8480" w:type="dxa"/>
            <w:vAlign w:val="bottom"/>
          </w:tcPr>
          <w:p>
            <w:pPr>
              <w:spacing w:after="0"/>
              <w:rPr>
                <w:sz w:val="24"/>
                <w:szCs w:val="24"/>
                <w:color w:val="auto"/>
              </w:rPr>
            </w:pPr>
          </w:p>
        </w:tc>
      </w:tr>
      <w:tr>
        <w:trPr>
          <w:trHeight w:val="243"/>
        </w:trPr>
        <w:tc>
          <w:tcPr>
            <w:tcW w:w="2760" w:type="dxa"/>
            <w:vAlign w:val="bottom"/>
          </w:tcPr>
          <w:p>
            <w:pPr>
              <w:spacing w:after="0"/>
              <w:rPr>
                <w:sz w:val="21"/>
                <w:szCs w:val="21"/>
                <w:color w:val="auto"/>
              </w:rPr>
            </w:pPr>
          </w:p>
        </w:tc>
        <w:tc>
          <w:tcPr>
            <w:tcW w:w="8480" w:type="dxa"/>
            <w:vAlign w:val="bottom"/>
          </w:tcPr>
          <w:p>
            <w:pPr>
              <w:spacing w:after="0"/>
              <w:rPr>
                <w:sz w:val="21"/>
                <w:szCs w:val="21"/>
                <w:color w:val="auto"/>
              </w:rPr>
            </w:pPr>
          </w:p>
        </w:tc>
      </w:tr>
      <w:tr>
        <w:trPr>
          <w:trHeight w:val="176"/>
        </w:trPr>
        <w:tc>
          <w:tcPr>
            <w:tcW w:w="2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annual rent</w:t>
            </w:r>
          </w:p>
        </w:tc>
        <w:tc>
          <w:tcPr>
            <w:tcW w:w="8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Represents total initial contractual rental rate under the applicable leases (as impacted by free rent) plus contractual</w:t>
            </w:r>
          </w:p>
        </w:tc>
      </w:tr>
      <w:tr>
        <w:trPr>
          <w:trHeight w:val="184"/>
        </w:trPr>
        <w:tc>
          <w:tcPr>
            <w:tcW w:w="2760" w:type="dxa"/>
            <w:vAlign w:val="bottom"/>
            <w:shd w:val="clear" w:color="auto" w:fill="CCEEFF"/>
          </w:tcPr>
          <w:p>
            <w:pPr>
              <w:spacing w:after="0"/>
              <w:rPr>
                <w:sz w:val="16"/>
                <w:szCs w:val="16"/>
                <w:color w:val="auto"/>
              </w:rPr>
            </w:pPr>
          </w:p>
        </w:tc>
        <w:tc>
          <w:tcPr>
            <w:tcW w:w="84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fixed rent increases due under the applicable leases averaged over the total terms (without regard to extension</w:t>
            </w:r>
          </w:p>
        </w:tc>
      </w:tr>
      <w:tr>
        <w:trPr>
          <w:trHeight w:val="180"/>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options) of the applicable leases. For comparison purposes, the Company excludes new leases of space when the</w:t>
            </w:r>
          </w:p>
        </w:tc>
      </w:tr>
      <w:tr>
        <w:trPr>
          <w:trHeight w:val="229"/>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previous lease of such space ended more than 12 months prior to the signing date for the new leases.</w:t>
            </w:r>
          </w:p>
        </w:tc>
      </w:tr>
      <w:tr>
        <w:trPr>
          <w:trHeight w:val="176"/>
        </w:trPr>
        <w:tc>
          <w:tcPr>
            <w:tcW w:w="2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Core Portfolio/Core Properties</w:t>
            </w:r>
          </w:p>
        </w:tc>
        <w:tc>
          <w:tcPr>
            <w:tcW w:w="8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Includes all wholly-owned operating properties. Does not include Properties under development/redevelopment,</w:t>
            </w:r>
          </w:p>
        </w:tc>
      </w:tr>
      <w:tr>
        <w:trPr>
          <w:trHeight w:val="239"/>
        </w:trPr>
        <w:tc>
          <w:tcPr>
            <w:tcW w:w="2760" w:type="dxa"/>
            <w:vAlign w:val="bottom"/>
          </w:tcPr>
          <w:p>
            <w:pPr>
              <w:spacing w:after="0"/>
              <w:rPr>
                <w:sz w:val="20"/>
                <w:szCs w:val="20"/>
                <w:color w:val="auto"/>
              </w:rPr>
            </w:pP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recently completed not-stabilized Properties, and properties held for sale.</w:t>
            </w: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Funds From Operations (“FFO”)</w:t>
            </w:r>
          </w:p>
        </w:tc>
        <w:tc>
          <w:tcPr>
            <w:tcW w:w="84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Is a non-GAAP financial measure, which the Company believes is useful to investors. The Company computes</w:t>
            </w:r>
          </w:p>
        </w:tc>
      </w:tr>
      <w:tr>
        <w:trPr>
          <w:trHeight w:val="184"/>
        </w:trPr>
        <w:tc>
          <w:tcPr>
            <w:tcW w:w="2760" w:type="dxa"/>
            <w:vAlign w:val="bottom"/>
            <w:shd w:val="clear" w:color="auto" w:fill="CCEEFF"/>
          </w:tcPr>
          <w:p>
            <w:pPr>
              <w:spacing w:after="0"/>
              <w:rPr>
                <w:sz w:val="16"/>
                <w:szCs w:val="16"/>
                <w:color w:val="auto"/>
              </w:rPr>
            </w:pPr>
          </w:p>
        </w:tc>
        <w:tc>
          <w:tcPr>
            <w:tcW w:w="84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FFO in accordance with standards established by the National Association of Real Estate Investment Trusts</w:t>
            </w:r>
          </w:p>
        </w:tc>
      </w:tr>
      <w:tr>
        <w:trPr>
          <w:trHeight w:val="180"/>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(NAREIT), which may not be comparable to FFO reported by other REITs that do not compute FFO in accordance</w:t>
            </w:r>
          </w:p>
        </w:tc>
      </w:tr>
      <w:tr>
        <w:trPr>
          <w:trHeight w:val="175"/>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with the NAREIT definition, or that interpret the NAREIT definition differently than the Company. NAREIT</w:t>
            </w:r>
          </w:p>
        </w:tc>
      </w:tr>
      <w:tr>
        <w:trPr>
          <w:trHeight w:val="184"/>
        </w:trPr>
        <w:tc>
          <w:tcPr>
            <w:tcW w:w="2760" w:type="dxa"/>
            <w:vAlign w:val="bottom"/>
            <w:shd w:val="clear" w:color="auto" w:fill="CCEEFF"/>
          </w:tcPr>
          <w:p>
            <w:pPr>
              <w:spacing w:after="0"/>
              <w:rPr>
                <w:sz w:val="16"/>
                <w:szCs w:val="16"/>
                <w:color w:val="auto"/>
              </w:rPr>
            </w:pPr>
          </w:p>
        </w:tc>
        <w:tc>
          <w:tcPr>
            <w:tcW w:w="84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defines FFO as net income (loss) before noncontrolling interests of unitholders (preferred and common) and</w:t>
            </w:r>
          </w:p>
        </w:tc>
      </w:tr>
      <w:tr>
        <w:trPr>
          <w:trHeight w:val="180"/>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excluding gains (losses) on sales of depreciable operating property, impairment losses on depreciable consolidated</w:t>
            </w:r>
          </w:p>
        </w:tc>
      </w:tr>
      <w:tr>
        <w:trPr>
          <w:trHeight w:val="175"/>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real estate, impairment losses on investments in unconsolidated real estate ventures and extraordinary items</w:t>
            </w:r>
          </w:p>
        </w:tc>
      </w:tr>
      <w:tr>
        <w:trPr>
          <w:trHeight w:val="184"/>
        </w:trPr>
        <w:tc>
          <w:tcPr>
            <w:tcW w:w="2760" w:type="dxa"/>
            <w:vAlign w:val="bottom"/>
            <w:shd w:val="clear" w:color="auto" w:fill="CCEEFF"/>
          </w:tcPr>
          <w:p>
            <w:pPr>
              <w:spacing w:after="0"/>
              <w:rPr>
                <w:sz w:val="16"/>
                <w:szCs w:val="16"/>
                <w:color w:val="auto"/>
              </w:rPr>
            </w:pPr>
          </w:p>
        </w:tc>
        <w:tc>
          <w:tcPr>
            <w:tcW w:w="84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(computed  in  accordance  with  GAAP);  plus  real  estate  related  depreciation  and  amortization  (excluding</w:t>
            </w:r>
          </w:p>
        </w:tc>
      </w:tr>
      <w:tr>
        <w:trPr>
          <w:trHeight w:val="180"/>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amortization of deferred financing costs), and after adjustment for unconsolidated real estate ventures. Net income,</w:t>
            </w:r>
          </w:p>
        </w:tc>
      </w:tr>
      <w:tr>
        <w:trPr>
          <w:trHeight w:val="175"/>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the GAAP measure that the Company believes to be most directly comparable to FFO, includes depreciation and</w:t>
            </w:r>
          </w:p>
        </w:tc>
      </w:tr>
      <w:tr>
        <w:trPr>
          <w:trHeight w:val="184"/>
        </w:trPr>
        <w:tc>
          <w:tcPr>
            <w:tcW w:w="2760" w:type="dxa"/>
            <w:vAlign w:val="bottom"/>
            <w:shd w:val="clear" w:color="auto" w:fill="CCEEFF"/>
          </w:tcPr>
          <w:p>
            <w:pPr>
              <w:spacing w:after="0"/>
              <w:rPr>
                <w:sz w:val="16"/>
                <w:szCs w:val="16"/>
                <w:color w:val="auto"/>
              </w:rPr>
            </w:pPr>
          </w:p>
        </w:tc>
        <w:tc>
          <w:tcPr>
            <w:tcW w:w="84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amortization expenses, gains or losses on property sales and noncontrolling interests. FFO per share is calculated by</w:t>
            </w:r>
          </w:p>
        </w:tc>
      </w:tr>
      <w:tr>
        <w:trPr>
          <w:trHeight w:val="180"/>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dividing FFO by fully diluted shares available to common shareholders and limited partnership unitholders. See</w:t>
            </w:r>
          </w:p>
        </w:tc>
      </w:tr>
      <w:tr>
        <w:trPr>
          <w:trHeight w:val="176"/>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 Item 7 of Part II of this</w:t>
            </w:r>
          </w:p>
        </w:tc>
      </w:tr>
      <w:tr>
        <w:trPr>
          <w:trHeight w:val="243"/>
        </w:trPr>
        <w:tc>
          <w:tcPr>
            <w:tcW w:w="2760" w:type="dxa"/>
            <w:vAlign w:val="bottom"/>
            <w:shd w:val="clear" w:color="auto" w:fill="CCEEFF"/>
          </w:tcPr>
          <w:p>
            <w:pPr>
              <w:spacing w:after="0"/>
              <w:rPr>
                <w:sz w:val="21"/>
                <w:szCs w:val="21"/>
                <w:color w:val="auto"/>
              </w:rPr>
            </w:pP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10-K for a reconciliation of net loss attributable to common shares and common unitholders to FFO.</w:t>
            </w:r>
          </w:p>
        </w:tc>
      </w:tr>
      <w:tr>
        <w:trPr>
          <w:trHeight w:val="175"/>
        </w:trPr>
        <w:tc>
          <w:tcPr>
            <w:tcW w:w="2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Operating Income (NOI)</w:t>
            </w:r>
          </w:p>
        </w:tc>
        <w:tc>
          <w:tcPr>
            <w:tcW w:w="8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Is a non-GAAP financial measure, which the Company defines as total revenue less property operating expenses,</w:t>
            </w:r>
          </w:p>
        </w:tc>
      </w:tr>
      <w:tr>
        <w:trPr>
          <w:trHeight w:val="184"/>
        </w:trPr>
        <w:tc>
          <w:tcPr>
            <w:tcW w:w="2760" w:type="dxa"/>
            <w:vAlign w:val="bottom"/>
          </w:tcPr>
          <w:p>
            <w:pPr>
              <w:spacing w:after="0"/>
              <w:rPr>
                <w:sz w:val="16"/>
                <w:szCs w:val="16"/>
                <w:color w:val="auto"/>
              </w:rPr>
            </w:pPr>
          </w:p>
        </w:tc>
        <w:tc>
          <w:tcPr>
            <w:tcW w:w="84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real estate taxes and third-party management expenses. Property operating expenses that are included in</w:t>
            </w:r>
          </w:p>
        </w:tc>
      </w:tr>
      <w:tr>
        <w:trPr>
          <w:trHeight w:val="180"/>
        </w:trPr>
        <w:tc>
          <w:tcPr>
            <w:tcW w:w="2760" w:type="dxa"/>
            <w:vAlign w:val="bottom"/>
          </w:tcPr>
          <w:p>
            <w:pPr>
              <w:spacing w:after="0"/>
              <w:rPr>
                <w:sz w:val="15"/>
                <w:szCs w:val="15"/>
                <w:color w:val="auto"/>
              </w:rPr>
            </w:pPr>
          </w:p>
        </w:tc>
        <w:tc>
          <w:tcPr>
            <w:tcW w:w="84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determining NOI consist of costs that are necessary and allocable to our operating properties such as utilities,</w:t>
            </w:r>
          </w:p>
        </w:tc>
      </w:tr>
      <w:tr>
        <w:trPr>
          <w:trHeight w:val="175"/>
        </w:trPr>
        <w:tc>
          <w:tcPr>
            <w:tcW w:w="2760" w:type="dxa"/>
            <w:vAlign w:val="bottom"/>
          </w:tcPr>
          <w:p>
            <w:pPr>
              <w:spacing w:after="0"/>
              <w:rPr>
                <w:sz w:val="15"/>
                <w:szCs w:val="15"/>
                <w:color w:val="auto"/>
              </w:rPr>
            </w:pPr>
          </w:p>
        </w:tc>
        <w:tc>
          <w:tcPr>
            <w:tcW w:w="8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property-level  salaries,  repairs  and  maintenance,  property  insurance  and  management  fees.  General  and</w:t>
            </w:r>
          </w:p>
        </w:tc>
      </w:tr>
      <w:tr>
        <w:trPr>
          <w:trHeight w:val="184"/>
        </w:trPr>
        <w:tc>
          <w:tcPr>
            <w:tcW w:w="2760" w:type="dxa"/>
            <w:vAlign w:val="bottom"/>
          </w:tcPr>
          <w:p>
            <w:pPr>
              <w:spacing w:after="0"/>
              <w:rPr>
                <w:sz w:val="16"/>
                <w:szCs w:val="16"/>
                <w:color w:val="auto"/>
              </w:rPr>
            </w:pPr>
          </w:p>
        </w:tc>
        <w:tc>
          <w:tcPr>
            <w:tcW w:w="84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administrative expenses that are not reflected in NOI primarily consist of corporate-level salaries, amortization of</w:t>
            </w:r>
          </w:p>
        </w:tc>
      </w:tr>
      <w:tr>
        <w:trPr>
          <w:trHeight w:val="180"/>
        </w:trPr>
        <w:tc>
          <w:tcPr>
            <w:tcW w:w="2760" w:type="dxa"/>
            <w:vAlign w:val="bottom"/>
          </w:tcPr>
          <w:p>
            <w:pPr>
              <w:spacing w:after="0"/>
              <w:rPr>
                <w:sz w:val="15"/>
                <w:szCs w:val="15"/>
                <w:color w:val="auto"/>
              </w:rPr>
            </w:pPr>
          </w:p>
        </w:tc>
        <w:tc>
          <w:tcPr>
            <w:tcW w:w="84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share awards and professional fees that are incurred as part of corporate office management. NOI is a non-GAAP</w:t>
            </w:r>
          </w:p>
        </w:tc>
      </w:tr>
      <w:tr>
        <w:trPr>
          <w:trHeight w:val="175"/>
        </w:trPr>
        <w:tc>
          <w:tcPr>
            <w:tcW w:w="2760" w:type="dxa"/>
            <w:vAlign w:val="bottom"/>
          </w:tcPr>
          <w:p>
            <w:pPr>
              <w:spacing w:after="0"/>
              <w:rPr>
                <w:sz w:val="15"/>
                <w:szCs w:val="15"/>
                <w:color w:val="auto"/>
              </w:rPr>
            </w:pPr>
          </w:p>
        </w:tc>
        <w:tc>
          <w:tcPr>
            <w:tcW w:w="8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financial measure that we report because we believe it is useful to our investors. See Note 18 “Segment</w:t>
            </w:r>
          </w:p>
        </w:tc>
      </w:tr>
      <w:tr>
        <w:trPr>
          <w:trHeight w:val="184"/>
        </w:trPr>
        <w:tc>
          <w:tcPr>
            <w:tcW w:w="2760" w:type="dxa"/>
            <w:vAlign w:val="bottom"/>
          </w:tcPr>
          <w:p>
            <w:pPr>
              <w:spacing w:after="0"/>
              <w:rPr>
                <w:sz w:val="16"/>
                <w:szCs w:val="16"/>
                <w:color w:val="auto"/>
              </w:rPr>
            </w:pPr>
          </w:p>
        </w:tc>
        <w:tc>
          <w:tcPr>
            <w:tcW w:w="84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Information,” to our consolidated financial statements in this Form 10-K for additional information on NOI,</w:t>
            </w:r>
          </w:p>
        </w:tc>
      </w:tr>
      <w:tr>
        <w:trPr>
          <w:trHeight w:val="234"/>
        </w:trPr>
        <w:tc>
          <w:tcPr>
            <w:tcW w:w="2760" w:type="dxa"/>
            <w:vAlign w:val="bottom"/>
          </w:tcPr>
          <w:p>
            <w:pPr>
              <w:spacing w:after="0"/>
              <w:rPr>
                <w:sz w:val="20"/>
                <w:szCs w:val="20"/>
                <w:color w:val="auto"/>
              </w:rPr>
            </w:pP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a reconciliation of NOI to our consolidated net loss as defined by GAAP.</w:t>
            </w: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Rate</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Includes base rent plus reimbursement for operating expenses and real estate taxes.</w:t>
            </w:r>
          </w:p>
        </w:tc>
      </w:tr>
      <w:tr>
        <w:trPr>
          <w:trHeight w:val="175"/>
        </w:trPr>
        <w:tc>
          <w:tcPr>
            <w:tcW w:w="2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Same Store Properties</w:t>
            </w:r>
          </w:p>
        </w:tc>
        <w:tc>
          <w:tcPr>
            <w:tcW w:w="8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We refer to properties acquired or placed in-service prior to the beginning of the earliest period presented and</w:t>
            </w:r>
          </w:p>
        </w:tc>
      </w:tr>
      <w:tr>
        <w:trPr>
          <w:trHeight w:val="184"/>
        </w:trPr>
        <w:tc>
          <w:tcPr>
            <w:tcW w:w="2760" w:type="dxa"/>
            <w:vAlign w:val="bottom"/>
          </w:tcPr>
          <w:p>
            <w:pPr>
              <w:spacing w:after="0"/>
              <w:rPr>
                <w:sz w:val="16"/>
                <w:szCs w:val="16"/>
                <w:color w:val="auto"/>
              </w:rPr>
            </w:pPr>
          </w:p>
        </w:tc>
        <w:tc>
          <w:tcPr>
            <w:tcW w:w="84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owned by us through the end of the latest period presented as Same Store Properties. Same Store Properties</w:t>
            </w:r>
          </w:p>
        </w:tc>
      </w:tr>
      <w:tr>
        <w:trPr>
          <w:trHeight w:val="180"/>
        </w:trPr>
        <w:tc>
          <w:tcPr>
            <w:tcW w:w="2760" w:type="dxa"/>
            <w:vAlign w:val="bottom"/>
          </w:tcPr>
          <w:p>
            <w:pPr>
              <w:spacing w:after="0"/>
              <w:rPr>
                <w:sz w:val="15"/>
                <w:szCs w:val="15"/>
                <w:color w:val="auto"/>
              </w:rPr>
            </w:pPr>
          </w:p>
        </w:tc>
        <w:tc>
          <w:tcPr>
            <w:tcW w:w="84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therefore exclude properties placed in-service, acquired, repositioned, held for sale or in development or</w:t>
            </w:r>
          </w:p>
        </w:tc>
      </w:tr>
      <w:tr>
        <w:trPr>
          <w:trHeight w:val="175"/>
        </w:trPr>
        <w:tc>
          <w:tcPr>
            <w:tcW w:w="2760" w:type="dxa"/>
            <w:vAlign w:val="bottom"/>
          </w:tcPr>
          <w:p>
            <w:pPr>
              <w:spacing w:after="0"/>
              <w:rPr>
                <w:sz w:val="15"/>
                <w:szCs w:val="15"/>
                <w:color w:val="auto"/>
              </w:rPr>
            </w:pPr>
          </w:p>
        </w:tc>
        <w:tc>
          <w:tcPr>
            <w:tcW w:w="8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redevelopment after the beginning of the earliest period presented or disposed of prior to the end of the latest period</w:t>
            </w:r>
          </w:p>
        </w:tc>
      </w:tr>
      <w:tr>
        <w:trPr>
          <w:trHeight w:val="184"/>
        </w:trPr>
        <w:tc>
          <w:tcPr>
            <w:tcW w:w="2760" w:type="dxa"/>
            <w:vAlign w:val="bottom"/>
          </w:tcPr>
          <w:p>
            <w:pPr>
              <w:spacing w:after="0"/>
              <w:rPr>
                <w:sz w:val="16"/>
                <w:szCs w:val="16"/>
                <w:color w:val="auto"/>
              </w:rPr>
            </w:pPr>
          </w:p>
        </w:tc>
        <w:tc>
          <w:tcPr>
            <w:tcW w:w="84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presented. Accordingly, it takes at least one year and one quarter after a property is acquired for that property to be</w:t>
            </w:r>
          </w:p>
        </w:tc>
      </w:tr>
      <w:tr>
        <w:trPr>
          <w:trHeight w:val="234"/>
        </w:trPr>
        <w:tc>
          <w:tcPr>
            <w:tcW w:w="2760" w:type="dxa"/>
            <w:vAlign w:val="bottom"/>
          </w:tcPr>
          <w:p>
            <w:pPr>
              <w:spacing w:after="0"/>
              <w:rPr>
                <w:sz w:val="20"/>
                <w:szCs w:val="20"/>
                <w:color w:val="auto"/>
              </w:rPr>
            </w:pP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included in Same Store Properties.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 estate investments: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properties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3,753,780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3,367,547</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(1,171,803)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ground leases,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Right of use asset - operating leases, net</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real estate investments,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2,563,895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2,221,389</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Construction-in-progress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118,543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94,628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Land held for development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81,318</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leasehold interests in land held for development, net</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27,762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real estate investments,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2,780,605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2,425,097</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32,284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90,229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and escrows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rent receivable, net of allowance of $424 and $909 as of December 31, 2025 and December 31, 2024, respectively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184,312</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314,326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570,455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costs,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79,549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84,317</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122,227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113,647</w:t>
            </w:r>
          </w:p>
        </w:tc>
        <w:tc>
          <w:tcPr>
            <w:tcW w:w="0" w:type="dxa"/>
            <w:vAlign w:val="bottom"/>
          </w:tcPr>
          <w:p>
            <w:pPr>
              <w:spacing w:after="0"/>
              <w:rPr>
                <w:sz w:val="1"/>
                <w:szCs w:val="1"/>
                <w:color w:val="auto"/>
              </w:rPr>
            </w:pPr>
          </w:p>
        </w:tc>
      </w:tr>
      <w:tr>
        <w:trPr>
          <w:trHeight w:val="203"/>
        </w:trPr>
        <w:tc>
          <w:tcPr>
            <w:tcW w:w="7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3,586,240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3,492,213</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BENEFICIARIES' EQUITY</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Secured term loans, net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234,079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275,338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Unsecured term loans,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318,949</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Unsecured senior notes,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2,073,394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1,618,527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143,826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129,717</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payable</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gains and rent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35,414</w:t>
            </w:r>
          </w:p>
        </w:tc>
        <w:tc>
          <w:tcPr>
            <w:tcW w:w="0" w:type="dxa"/>
            <w:vAlign w:val="bottom"/>
          </w:tcPr>
          <w:p>
            <w:pPr>
              <w:spacing w:after="0"/>
              <w:rPr>
                <w:sz w:val="1"/>
                <w:szCs w:val="1"/>
                <w:color w:val="auto"/>
              </w:rPr>
            </w:pPr>
          </w:p>
        </w:tc>
      </w:tr>
      <w:tr>
        <w:trPr>
          <w:trHeight w:val="195"/>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liability - operating leases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14,588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12,587</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2,788,386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2,447,626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(See Note 19)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Brandywine Realty Trust's Equity: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7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of Brandywine Realty Trust's beneficial interest, $0.01 par value; shares authorized 400,000,000; 173,699,039 and</w:t>
            </w:r>
          </w:p>
        </w:tc>
        <w:tc>
          <w:tcPr>
            <w:tcW w:w="160" w:type="dxa"/>
            <w:vAlign w:val="bottom"/>
          </w:tcPr>
          <w:p>
            <w:pPr>
              <w:spacing w:after="0"/>
              <w:rPr>
                <w:sz w:val="11"/>
                <w:szCs w:val="11"/>
                <w:color w:val="auto"/>
              </w:rPr>
            </w:pPr>
          </w:p>
        </w:tc>
        <w:tc>
          <w:tcPr>
            <w:tcW w:w="1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195"/>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172,665,995 issued and outstanding as of December 31, 2025 and December 31, 2024, respectively</w:t>
            </w: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paid-in-capital</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3,199,838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3,182,621</w:t>
            </w:r>
          </w:p>
        </w:tc>
        <w:tc>
          <w:tcPr>
            <w:tcW w:w="0" w:type="dxa"/>
            <w:vAlign w:val="bottom"/>
          </w:tcPr>
          <w:p>
            <w:pPr>
              <w:spacing w:after="0"/>
              <w:rPr>
                <w:sz w:val="1"/>
                <w:szCs w:val="1"/>
                <w:color w:val="auto"/>
              </w:rPr>
            </w:pPr>
          </w:p>
        </w:tc>
      </w:tr>
      <w:tr>
        <w:trPr>
          <w:trHeight w:val="195"/>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compensation payable in common shares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23,069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20,456</w:t>
            </w:r>
          </w:p>
        </w:tc>
        <w:tc>
          <w:tcPr>
            <w:tcW w:w="0" w:type="dxa"/>
            <w:vAlign w:val="bottom"/>
          </w:tcPr>
          <w:p>
            <w:pPr>
              <w:spacing w:after="0"/>
              <w:rPr>
                <w:sz w:val="1"/>
                <w:szCs w:val="1"/>
                <w:color w:val="auto"/>
              </w:rPr>
            </w:pPr>
          </w:p>
        </w:tc>
      </w:tr>
      <w:tr>
        <w:trPr>
          <w:trHeight w:val="142"/>
        </w:trPr>
        <w:tc>
          <w:tcPr>
            <w:tcW w:w="78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Common shares in grantor trust, 1,583,000 and 1,221,333 issued and outstanding as of December 31, 2025 and December 31, 2024,</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Cumulative earnings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605,252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783,499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Cumulative distributions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(3,012,654)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(2,931,730)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Brandywine Realty Trust's equity</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792,732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1,038,635</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5,952</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beneficiaries'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797,854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1,044,587</w:t>
            </w:r>
          </w:p>
        </w:tc>
        <w:tc>
          <w:tcPr>
            <w:tcW w:w="0" w:type="dxa"/>
            <w:vAlign w:val="bottom"/>
          </w:tcPr>
          <w:p>
            <w:pPr>
              <w:spacing w:after="0"/>
              <w:rPr>
                <w:sz w:val="1"/>
                <w:szCs w:val="1"/>
                <w:color w:val="auto"/>
              </w:rPr>
            </w:pPr>
          </w:p>
        </w:tc>
      </w:tr>
      <w:tr>
        <w:trPr>
          <w:trHeight w:val="203"/>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beneficiaries' equity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3,586,240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3,492,213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457,504</w:t>
            </w:r>
          </w:p>
        </w:tc>
        <w:tc>
          <w:tcPr>
            <w:tcW w:w="4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479,849</w:t>
            </w: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Third party management fees, labor reimbursement and leasing</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24,417</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0" w:type="dxa"/>
            <w:vAlign w:val="bottom"/>
          </w:tcPr>
          <w:p>
            <w:pPr>
              <w:spacing w:after="0"/>
              <w:rPr>
                <w:sz w:val="1"/>
                <w:szCs w:val="1"/>
                <w:color w:val="auto"/>
              </w:rPr>
            </w:pPr>
          </w:p>
        </w:tc>
      </w:tr>
      <w:tr>
        <w:trPr>
          <w:trHeight w:val="207"/>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514,651</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operating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129,885</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Third party management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188,797</w:t>
            </w: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34,862</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impairment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131,573</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467,045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452,934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545,179</w:t>
            </w:r>
          </w:p>
        </w:tc>
        <w:tc>
          <w:tcPr>
            <w:tcW w:w="0" w:type="dxa"/>
            <w:vAlign w:val="bottom"/>
          </w:tcPr>
          <w:p>
            <w:pPr>
              <w:spacing w:after="0"/>
              <w:rPr>
                <w:sz w:val="1"/>
                <w:szCs w:val="1"/>
                <w:color w:val="auto"/>
              </w:rPr>
            </w:pPr>
          </w:p>
        </w:tc>
      </w:tr>
      <w:tr>
        <w:trPr>
          <w:trHeight w:val="19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 (loss) on sale of real estate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on disposition of real estate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(loss) on sale of undepreciated real estate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gain on sale of real estate</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(21,581)</w:t>
            </w:r>
          </w:p>
        </w:tc>
        <w:tc>
          <w:tcPr>
            <w:tcW w:w="0" w:type="dxa"/>
            <w:vAlign w:val="bottom"/>
          </w:tcPr>
          <w:p>
            <w:pPr>
              <w:spacing w:after="0"/>
              <w:rPr>
                <w:sz w:val="1"/>
                <w:szCs w:val="1"/>
                <w:color w:val="auto"/>
              </w:rPr>
            </w:pP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(95,456)</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 amortization of deferred financing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loss of unconsolidated real estate ventures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(77,915)</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on real estate venture transactions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(197,331)</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(197,403)</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Brandywine Realty Trust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(196,789)</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Nonforfeitable dividends allocated to unvested restricted shareholders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Common Shareholders of Brandywine Realty Trust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(197,356)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loss per Common Share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loss per Common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Basic 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173,464,402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172,526,996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171,959,210</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weighted average shares outstanding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173,464,402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172,526,996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171,959,210</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(197,403)</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2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(201,982)</w:t>
            </w:r>
          </w:p>
        </w:tc>
      </w:tr>
      <w:tr>
        <w:trPr>
          <w:trHeight w:val="229"/>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Brandywine Realty Trust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(201,354)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BENEFICIARIES’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Number of</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Number of</w:t>
            </w:r>
          </w:p>
        </w:tc>
        <w:tc>
          <w:tcPr>
            <w:tcW w:w="8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Common</w:t>
            </w:r>
          </w:p>
        </w:tc>
        <w:tc>
          <w:tcPr>
            <w:tcW w:w="10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Additional</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7"/>
              </w:rPr>
              <w:t>Deferred</w:t>
            </w: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7"/>
              </w:rPr>
              <w:t>Common</w:t>
            </w:r>
          </w:p>
        </w:tc>
        <w:tc>
          <w:tcPr>
            <w:tcW w:w="6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Cumulative</w:t>
            </w:r>
          </w:p>
        </w:tc>
        <w:tc>
          <w:tcPr>
            <w:tcW w:w="60" w:type="dxa"/>
            <w:vAlign w:val="bottom"/>
          </w:tcPr>
          <w:p>
            <w:pPr>
              <w:spacing w:after="0"/>
              <w:rPr>
                <w:sz w:val="11"/>
                <w:szCs w:val="11"/>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Accumulated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Cumulative</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color w:val="auto"/>
                <w:w w:val="98"/>
              </w:rPr>
              <w:t>Noncontrolling</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Total</w:t>
            </w:r>
          </w:p>
        </w:tc>
      </w:tr>
      <w:tr>
        <w:trPr>
          <w:trHeight w:val="108"/>
        </w:trPr>
        <w:tc>
          <w:tcPr>
            <w:tcW w:w="288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Common</w:t>
            </w:r>
          </w:p>
        </w:tc>
        <w:tc>
          <w:tcPr>
            <w:tcW w:w="76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1"/>
                <w:szCs w:val="11"/>
                <w:color w:val="auto"/>
                <w:w w:val="98"/>
              </w:rPr>
              <w:t>Rabbi</w:t>
            </w:r>
          </w:p>
        </w:tc>
        <w:tc>
          <w:tcPr>
            <w:tcW w:w="80" w:type="dxa"/>
            <w:vAlign w:val="bottom"/>
          </w:tcPr>
          <w:p>
            <w:pPr>
              <w:spacing w:after="0"/>
              <w:rPr>
                <w:sz w:val="9"/>
                <w:szCs w:val="9"/>
                <w:color w:val="auto"/>
              </w:rPr>
            </w:pPr>
          </w:p>
        </w:tc>
        <w:tc>
          <w:tcPr>
            <w:tcW w:w="7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color w:val="auto"/>
                <w:w w:val="96"/>
              </w:rPr>
              <w:t>Shares of</w:t>
            </w:r>
          </w:p>
        </w:tc>
        <w:tc>
          <w:tcPr>
            <w:tcW w:w="76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color w:val="auto"/>
              </w:rPr>
              <w:t>Paid-in Capital</w:t>
            </w:r>
          </w:p>
        </w:tc>
        <w:tc>
          <w:tcPr>
            <w:tcW w:w="78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Compensation</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color w:val="auto"/>
                <w:w w:val="98"/>
              </w:rPr>
              <w:t>Shares in</w:t>
            </w:r>
          </w:p>
        </w:tc>
        <w:tc>
          <w:tcPr>
            <w:tcW w:w="60" w:type="dxa"/>
            <w:vAlign w:val="bottom"/>
          </w:tcPr>
          <w:p>
            <w:pPr>
              <w:spacing w:after="0"/>
              <w:rPr>
                <w:sz w:val="9"/>
                <w:szCs w:val="9"/>
                <w:color w:val="auto"/>
              </w:rPr>
            </w:pPr>
          </w:p>
        </w:tc>
        <w:tc>
          <w:tcPr>
            <w:tcW w:w="68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color w:val="auto"/>
                <w:w w:val="97"/>
              </w:rPr>
              <w:t>Earnings</w:t>
            </w:r>
          </w:p>
        </w:tc>
        <w:tc>
          <w:tcPr>
            <w:tcW w:w="60" w:type="dxa"/>
            <w:vAlign w:val="bottom"/>
          </w:tcPr>
          <w:p>
            <w:pPr>
              <w:spacing w:after="0"/>
              <w:rPr>
                <w:sz w:val="9"/>
                <w:szCs w:val="9"/>
                <w:color w:val="auto"/>
              </w:rPr>
            </w:pPr>
          </w:p>
        </w:tc>
        <w:tc>
          <w:tcPr>
            <w:tcW w:w="8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color w:val="auto"/>
                <w:w w:val="95"/>
              </w:rPr>
              <w:t>Other</w:t>
            </w: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Distributions</w:t>
            </w:r>
          </w:p>
        </w:tc>
        <w:tc>
          <w:tcPr>
            <w:tcW w:w="140" w:type="dxa"/>
            <w:vAlign w:val="bottom"/>
          </w:tcPr>
          <w:p>
            <w:pPr>
              <w:spacing w:after="0"/>
              <w:rPr>
                <w:sz w:val="9"/>
                <w:szCs w:val="9"/>
                <w:color w:val="auto"/>
              </w:rPr>
            </w:pPr>
          </w:p>
        </w:tc>
        <w:tc>
          <w:tcPr>
            <w:tcW w:w="7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color w:val="auto"/>
                <w:w w:val="96"/>
              </w:rPr>
              <w:t>Interests</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5"/>
              </w:rPr>
              <w:t>Shares</w:t>
            </w:r>
          </w:p>
        </w:tc>
        <w:tc>
          <w:tcPr>
            <w:tcW w:w="7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Trust/Deferred</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color w:val="auto"/>
              </w:rPr>
              <w:t>Brandywine</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color w:val="auto"/>
                <w:w w:val="99"/>
              </w:rPr>
              <w:t>Payable in</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color w:val="auto"/>
                <w:w w:val="99"/>
              </w:rPr>
              <w:t>Grantor</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8"/>
              </w:rPr>
              <w:t>Comprehensive</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1"/>
                <w:szCs w:val="11"/>
                <w:color w:val="auto"/>
                <w:w w:val="97"/>
              </w:rPr>
              <w:t>Compensation</w:t>
            </w:r>
          </w:p>
        </w:tc>
        <w:tc>
          <w:tcPr>
            <w:tcW w:w="780" w:type="dxa"/>
            <w:vAlign w:val="bottom"/>
            <w:gridSpan w:val="3"/>
          </w:tcPr>
          <w:p>
            <w:pPr>
              <w:jc w:val="center"/>
              <w:ind w:right="60"/>
              <w:spacing w:after="0" w:line="108" w:lineRule="exact"/>
              <w:rPr>
                <w:sz w:val="20"/>
                <w:szCs w:val="20"/>
                <w:color w:val="auto"/>
              </w:rPr>
            </w:pPr>
            <w:r>
              <w:rPr>
                <w:rFonts w:ascii="Times New Roman" w:cs="Times New Roman" w:eastAsia="Times New Roman" w:hAnsi="Times New Roman"/>
                <w:sz w:val="11"/>
                <w:szCs w:val="11"/>
                <w:color w:val="auto"/>
                <w:w w:val="98"/>
              </w:rPr>
              <w:t>Realty Trust's</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color w:val="auto"/>
                <w:w w:val="97"/>
              </w:rPr>
              <w:t>Common</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color w:val="auto"/>
                <w:w w:val="94"/>
              </w:rPr>
              <w:t>Trust</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color w:val="auto"/>
                <w:w w:val="97"/>
              </w:rPr>
              <w:t>Income (Loss)</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5"/>
              </w:rPr>
              <w:t>Shares</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color w:val="auto"/>
                <w:w w:val="96"/>
              </w:rPr>
              <w:t>beneficial</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color w:val="auto"/>
              </w:rPr>
              <w:t>Shares</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40"/>
        </w:trPr>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interest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3"/>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171,569,807</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1,179,643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1,716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3,153,229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19,601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(19,601)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1,176,195</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3,897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(2,709,405)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7,702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1,633,334</w:t>
            </w: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(196,789)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(197,403)</w:t>
            </w:r>
          </w:p>
        </w:tc>
      </w:tr>
      <w:tr>
        <w:trPr>
          <w:trHeight w:val="36"/>
        </w:trPr>
        <w:tc>
          <w:tcPr>
            <w:tcW w:w="2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6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(4,579)</w:t>
            </w: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compensation activity</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545,544</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10,880</w:t>
            </w:r>
          </w:p>
        </w:tc>
      </w:tr>
      <w:tr>
        <w:trPr>
          <w:trHeight w:val="36"/>
        </w:trPr>
        <w:tc>
          <w:tcPr>
            <w:tcW w:w="2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6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 Issuance from/(to) Deferred Compensation Plan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(17,690)</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Reallocation of Noncontrolling interest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2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8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declared ($0.68 per share)</w:t>
            </w: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(117,617)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(117,967)</w:t>
            </w:r>
          </w:p>
        </w:tc>
      </w:tr>
      <w:tr>
        <w:trPr>
          <w:trHeight w:val="14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172,097,661</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1,194,127</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1,719</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3,163,949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19,965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(19,965)</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979,406</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(2,827,022)</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6,773</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1,324,157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comprehensive gain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Share-based compensation activity</w:t>
      </w:r>
    </w:p>
    <w:p>
      <w:pPr>
        <w:spacing w:after="0" w:line="63" w:lineRule="exact"/>
        <w:rPr>
          <w:sz w:val="20"/>
          <w:szCs w:val="20"/>
          <w:color w:val="auto"/>
        </w:rPr>
      </w:pPr>
    </w:p>
    <w:p>
      <w:pPr>
        <w:ind w:left="20" w:right="20"/>
        <w:spacing w:after="0" w:line="350" w:lineRule="auto"/>
        <w:rPr>
          <w:sz w:val="20"/>
          <w:szCs w:val="20"/>
          <w:color w:val="auto"/>
        </w:rPr>
      </w:pPr>
      <w:r>
        <w:rPr>
          <w:rFonts w:ascii="Times New Roman" w:cs="Times New Roman" w:eastAsia="Times New Roman" w:hAnsi="Times New Roman"/>
          <w:sz w:val="11"/>
          <w:szCs w:val="11"/>
          <w:color w:val="auto"/>
        </w:rPr>
        <w:t>Share Issuance from/(to) Deferred Compensation Plan Reallocation of Noncontrolling interest Distributions declared ($0.60 per share)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20" w:type="dxa"/>
            <w:vAlign w:val="bottom"/>
          </w:tcPr>
          <w:p>
            <w:pPr>
              <w:jc w:val="right"/>
              <w:ind w:right="1866"/>
              <w:spacing w:after="0"/>
              <w:rPr>
                <w:sz w:val="20"/>
                <w:szCs w:val="20"/>
                <w:color w:val="auto"/>
              </w:rPr>
            </w:pPr>
            <w:r>
              <w:rPr>
                <w:rFonts w:ascii="Times New Roman" w:cs="Times New Roman" w:eastAsia="Times New Roman" w:hAnsi="Times New Roman"/>
                <w:sz w:val="11"/>
                <w:szCs w:val="11"/>
                <w:color w:val="auto"/>
              </w:rPr>
              <w:t>(195,907)</w:t>
            </w: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(580)</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(196,487)</w:t>
            </w:r>
          </w:p>
        </w:tc>
      </w:tr>
      <w:tr>
        <w:trPr>
          <w:trHeight w:val="189"/>
        </w:trPr>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20" w:type="dxa"/>
            <w:vAlign w:val="bottom"/>
          </w:tcPr>
          <w:p>
            <w:pPr>
              <w:jc w:val="right"/>
              <w:ind w:right="1026"/>
              <w:spacing w:after="0"/>
              <w:rPr>
                <w:sz w:val="20"/>
                <w:szCs w:val="20"/>
                <w:color w:val="auto"/>
              </w:rPr>
            </w:pPr>
            <w:r>
              <w:rPr>
                <w:rFonts w:ascii="Times New Roman" w:cs="Times New Roman" w:eastAsia="Times New Roman" w:hAnsi="Times New Roman"/>
                <w:sz w:val="11"/>
                <w:szCs w:val="11"/>
                <w:color w:val="auto"/>
              </w:rPr>
              <w:t>3,189</w:t>
            </w: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3,200</w:t>
            </w:r>
          </w:p>
        </w:tc>
      </w:tr>
      <w:tr>
        <w:trPr>
          <w:trHeight w:val="189"/>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601,706</w:t>
            </w:r>
          </w:p>
        </w:tc>
        <w:tc>
          <w:tcPr>
            <w:tcW w:w="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114,537</w:t>
            </w: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18,887</w:t>
            </w:r>
          </w:p>
        </w:tc>
        <w:tc>
          <w:tcPr>
            <w:tcW w:w="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18,892</w:t>
            </w:r>
          </w:p>
        </w:tc>
      </w:tr>
      <w:tr>
        <w:trPr>
          <w:trHeight w:val="189"/>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(33,372)</w:t>
            </w:r>
          </w:p>
        </w:tc>
        <w:tc>
          <w:tcPr>
            <w:tcW w:w="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(87,331)</w:t>
            </w:r>
          </w:p>
        </w:tc>
        <w:tc>
          <w:tcPr>
            <w:tcW w:w="640" w:type="dxa"/>
            <w:vAlign w:val="bottom"/>
          </w:tcPr>
          <w:p>
            <w:pPr>
              <w:spacing w:after="0"/>
              <w:rPr>
                <w:sz w:val="16"/>
                <w:szCs w:val="16"/>
                <w:color w:val="auto"/>
              </w:rPr>
            </w:pPr>
          </w:p>
        </w:tc>
        <w:tc>
          <w:tcPr>
            <w:tcW w:w="8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(159)</w:t>
            </w:r>
          </w:p>
        </w:tc>
        <w:tc>
          <w:tcPr>
            <w:tcW w:w="7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491</w:t>
            </w:r>
          </w:p>
        </w:tc>
        <w:tc>
          <w:tcPr>
            <w:tcW w:w="3120" w:type="dxa"/>
            <w:vAlign w:val="bottom"/>
          </w:tcPr>
          <w:p>
            <w:pPr>
              <w:jc w:val="right"/>
              <w:ind w:right="2606"/>
              <w:spacing w:after="0"/>
              <w:rPr>
                <w:sz w:val="20"/>
                <w:szCs w:val="20"/>
                <w:color w:val="auto"/>
              </w:rPr>
            </w:pPr>
            <w:r>
              <w:rPr>
                <w:rFonts w:ascii="Times New Roman" w:cs="Times New Roman" w:eastAsia="Times New Roman" w:hAnsi="Times New Roman"/>
                <w:sz w:val="11"/>
                <w:szCs w:val="11"/>
                <w:color w:val="auto"/>
              </w:rPr>
              <w:t>(491)</w:t>
            </w:r>
          </w:p>
        </w:tc>
        <w:tc>
          <w:tcPr>
            <w:tcW w:w="7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r>
      <w:tr>
        <w:trPr>
          <w:trHeight w:val="189"/>
        </w:trPr>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(56)</w:t>
            </w:r>
          </w:p>
        </w:tc>
        <w:tc>
          <w:tcPr>
            <w:tcW w:w="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9"/>
        </w:trPr>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(104,708)</w:t>
            </w: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(308)</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-465455</wp:posOffset>
            </wp:positionV>
            <wp:extent cx="713232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-225425</wp:posOffset>
            </wp:positionV>
            <wp:extent cx="7132320"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2400" w:space="720"/>
            <w:col w:w="812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172,665,995</w:t>
            </w: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1,221,333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3,182,621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20,456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(20,456)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783,499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w w:val="96"/>
              </w:rPr>
              <w:t>2,521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(2,931,730)</w:t>
            </w: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5,952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1,044,587</w:t>
            </w:r>
          </w:p>
        </w:tc>
        <w:tc>
          <w:tcPr>
            <w:tcW w:w="0" w:type="dxa"/>
            <w:vAlign w:val="bottom"/>
          </w:tcPr>
          <w:p>
            <w:pPr>
              <w:spacing w:after="0"/>
              <w:rPr>
                <w:sz w:val="1"/>
                <w:szCs w:val="1"/>
                <w:color w:val="auto"/>
              </w:rPr>
            </w:pP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(178,247)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(178,867)</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w w:val="99"/>
              </w:rPr>
              <w:t>(3,958)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(3,971)</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partnership interest in consolidated real estate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125</w:t>
            </w:r>
          </w:p>
        </w:tc>
        <w:tc>
          <w:tcPr>
            <w:tcW w:w="0" w:type="dxa"/>
            <w:vAlign w:val="bottom"/>
          </w:tcPr>
          <w:p>
            <w:pPr>
              <w:spacing w:after="0"/>
              <w:rPr>
                <w:sz w:val="1"/>
                <w:szCs w:val="1"/>
                <w:color w:val="auto"/>
              </w:rPr>
            </w:pPr>
          </w:p>
        </w:tc>
      </w:tr>
      <w:tr>
        <w:trPr>
          <w:trHeight w:val="7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venture</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8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Share-based compensation activity</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1,166,628</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578,753</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17,592</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2,393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17,601</w:t>
            </w:r>
          </w:p>
        </w:tc>
        <w:tc>
          <w:tcPr>
            <w:tcW w:w="0" w:type="dxa"/>
            <w:vAlign w:val="bottom"/>
          </w:tcPr>
          <w:p>
            <w:pPr>
              <w:spacing w:after="0"/>
              <w:rPr>
                <w:sz w:val="1"/>
                <w:szCs w:val="1"/>
                <w:color w:val="auto"/>
              </w:rPr>
            </w:pP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Issuance from/(to) Deferred Compensation Plan</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(133,584)</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(217,086)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Reallocation of Noncontrolling interest</w:t>
            </w: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declared ($0.53 per share)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(81,152)</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173,699,039</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1,583,000</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1,733</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3,199,838</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23,069</w:t>
            </w: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(23,069)</w:t>
            </w: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605,252</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(1,437)</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(3,012,654)</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5,122</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797,854</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9"/>
        </w:trPr>
        <w:tc>
          <w:tcPr>
            <w:tcW w:w="6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65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(178,867)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(197,403)</w:t>
            </w:r>
          </w:p>
        </w:tc>
      </w:tr>
      <w:tr>
        <w:trPr>
          <w:trHeight w:val="170"/>
        </w:trPr>
        <w:tc>
          <w:tcPr>
            <w:tcW w:w="6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income to net cash from operating activities: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176,428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178,168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188,797</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4,369</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Amortization of debt discount/(premium), net</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stock compensation costs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16,889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9,847</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Straight-line rent income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(9,270)</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acquired above (below) market leases, net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Straight-line ground rent expense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gain on real estate venture transactions</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gain on disposition of real estate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(8,947)</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Gain (loss) on early extinguishment of debt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Provision for impairment</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44,655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131,573</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from unconsolidated real estate ventures, including income distributions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57,682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191,585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77,915</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Income tax provision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0"/>
        </w:trPr>
        <w:tc>
          <w:tcPr>
            <w:tcW w:w="6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Accounts receivable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assets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(12,928)</w:t>
            </w:r>
          </w:p>
        </w:tc>
      </w:tr>
      <w:tr>
        <w:trPr>
          <w:trHeight w:val="170"/>
        </w:trPr>
        <w:tc>
          <w:tcPr>
            <w:tcW w:w="6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Deferred income, gains and rent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81"/>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 liabilities</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2,879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w:t>
            </w:r>
          </w:p>
        </w:tc>
      </w:tr>
      <w:tr>
        <w:trPr>
          <w:trHeight w:val="163"/>
        </w:trPr>
        <w:tc>
          <w:tcPr>
            <w:tcW w:w="6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116,701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181,125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177,273</w:t>
            </w:r>
          </w:p>
        </w:tc>
      </w:tr>
      <w:tr>
        <w:trPr>
          <w:trHeight w:val="16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 of properties</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(7,747)</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 of partners interest in consolidated real estate venture, net of cash acquired</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(105,819)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sale of properties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155,867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76,804</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note receivable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 for tenant improvements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(48,939)</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 for redevelopments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(59,984)</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 for developments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(47,537)</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Advances to and from the purchase of tenant assets, net of repayments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 unconsolidated real estate ventures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(70,653)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(85,922)</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 for real estate</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distributions from unconsolidated real estate ventures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56,593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3,790</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Leasing costs paid</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(12,749)</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(7,879)</w:t>
            </w:r>
          </w:p>
        </w:tc>
      </w:tr>
      <w:tr>
        <w:trPr>
          <w:trHeight w:val="163"/>
        </w:trPr>
        <w:tc>
          <w:tcPr>
            <w:tcW w:w="6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(206,282)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(120,185)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(174,912)</w:t>
            </w:r>
          </w:p>
        </w:tc>
      </w:tr>
      <w:tr>
        <w:trPr>
          <w:trHeight w:val="16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credit facility borrowings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209,000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201,000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215,000</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credit facility borrowings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(303,500)</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unsecured notes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459,000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unsecured notes</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(64,164)</w:t>
            </w:r>
          </w:p>
        </w:tc>
      </w:tr>
      <w:tr>
        <w:trPr>
          <w:trHeight w:val="164"/>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unsecured term loan</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r>
      <w:tr>
        <w:trPr>
          <w:trHeight w:val="187"/>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unsecured term loan</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secured term loan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57,324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245,000</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 of secured term loan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(255,428)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construction loan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18,911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13,824</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construction loan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(43,617)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financing costs paid</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(4,371)</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used for employee taxes upon vesting of share awards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limited partnership units</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1"/>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paid to shareholders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(124,255)</w:t>
            </w:r>
          </w:p>
        </w:tc>
      </w:tr>
      <w:tr>
        <w:trPr>
          <w:trHeight w:val="170"/>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75"/>
        </w:trPr>
        <w:tc>
          <w:tcPr>
            <w:tcW w:w="6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55,706</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46,786</w:t>
            </w:r>
          </w:p>
        </w:tc>
      </w:tr>
      <w:tr>
        <w:trPr>
          <w:trHeight w:val="163"/>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Increase/(Decrease) in cash and cash equivalents and restricted cash</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28,643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49,147</w:t>
            </w:r>
          </w:p>
        </w:tc>
      </w:tr>
      <w:tr>
        <w:trPr>
          <w:trHeight w:val="17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year</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67,534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18,387</w:t>
            </w:r>
          </w:p>
        </w:tc>
      </w:tr>
      <w:tr>
        <w:trPr>
          <w:trHeight w:val="175"/>
        </w:trPr>
        <w:tc>
          <w:tcPr>
            <w:tcW w:w="6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at end of period</w:t>
            </w:r>
          </w:p>
        </w:tc>
        <w:tc>
          <w:tcPr>
            <w:tcW w:w="9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62,302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96,177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67,534</w:t>
            </w:r>
          </w:p>
        </w:tc>
      </w:tr>
      <w:tr>
        <w:trPr>
          <w:trHeight w:val="46"/>
        </w:trPr>
        <w:tc>
          <w:tcPr>
            <w:tcW w:w="65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64"/>
        </w:trPr>
        <w:tc>
          <w:tcPr>
            <w:tcW w:w="65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Reconciliation of cash and cash equivalents and restricted cash:</w:t>
            </w:r>
          </w:p>
        </w:tc>
        <w:tc>
          <w:tcPr>
            <w:tcW w:w="9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765"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900" w:type="dxa"/>
            <w:vAlign w:val="bottom"/>
            <w:gridSpan w:val="2"/>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90,229</w:t>
            </w:r>
          </w:p>
        </w:tc>
        <w:tc>
          <w:tcPr>
            <w:tcW w:w="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58,319</w:t>
            </w: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17,551</w:t>
            </w:r>
          </w:p>
        </w:tc>
        <w:tc>
          <w:tcPr>
            <w:tcW w:w="60" w:type="dxa"/>
            <w:vAlign w:val="bottom"/>
            <w:shd w:val="clear" w:color="auto" w:fill="CCEEFF"/>
          </w:tcPr>
          <w:p>
            <w:pPr>
              <w:spacing w:after="0"/>
              <w:rPr>
                <w:sz w:val="15"/>
                <w:szCs w:val="15"/>
                <w:color w:val="auto"/>
              </w:rPr>
            </w:pPr>
          </w:p>
        </w:tc>
      </w:tr>
      <w:tr>
        <w:trPr>
          <w:trHeight w:val="170"/>
        </w:trPr>
        <w:tc>
          <w:tcPr>
            <w:tcW w:w="60" w:type="dxa"/>
            <w:vAlign w:val="bottom"/>
          </w:tcPr>
          <w:p>
            <w:pPr>
              <w:spacing w:after="0"/>
              <w:rPr>
                <w:sz w:val="14"/>
                <w:szCs w:val="14"/>
                <w:color w:val="auto"/>
              </w:rPr>
            </w:pPr>
          </w:p>
        </w:tc>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Restricted cash, beginning of period</w:t>
            </w: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9,215</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60" w:type="dxa"/>
            <w:vAlign w:val="bottom"/>
            <w:tcBorders>
              <w:bottom w:val="single" w:sz="8" w:color="auto"/>
            </w:tcBorders>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beginning of period</w:t>
            </w:r>
          </w:p>
        </w:tc>
        <w:tc>
          <w:tcPr>
            <w:tcW w:w="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67,534</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60" w:type="dxa"/>
            <w:vAlign w:val="bottom"/>
            <w:tcBorders>
              <w:bottom w:val="single" w:sz="8" w:color="auto"/>
            </w:tcBorders>
            <w:shd w:val="clear" w:color="auto" w:fill="CCEEFF"/>
          </w:tcPr>
          <w:p>
            <w:pPr>
              <w:spacing w:after="0"/>
              <w:rPr>
                <w:sz w:val="15"/>
                <w:szCs w:val="15"/>
                <w:color w:val="auto"/>
              </w:rPr>
            </w:pPr>
          </w:p>
        </w:tc>
      </w:tr>
      <w:tr>
        <w:trPr>
          <w:trHeight w:val="34"/>
        </w:trPr>
        <w:tc>
          <w:tcPr>
            <w:tcW w:w="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60" w:type="dxa"/>
            <w:vAlign w:val="bottom"/>
          </w:tcPr>
          <w:p>
            <w:pPr>
              <w:spacing w:after="0"/>
              <w:rPr>
                <w:sz w:val="15"/>
                <w:szCs w:val="15"/>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900" w:type="dxa"/>
            <w:vAlign w:val="bottom"/>
            <w:gridSpan w:val="2"/>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32,284</w:t>
            </w:r>
          </w:p>
        </w:tc>
        <w:tc>
          <w:tcPr>
            <w:tcW w:w="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90,229</w:t>
            </w: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58,319</w:t>
            </w:r>
          </w:p>
        </w:tc>
        <w:tc>
          <w:tcPr>
            <w:tcW w:w="60" w:type="dxa"/>
            <w:vAlign w:val="bottom"/>
            <w:shd w:val="clear" w:color="auto" w:fill="CCEEFF"/>
          </w:tcPr>
          <w:p>
            <w:pPr>
              <w:spacing w:after="0"/>
              <w:rPr>
                <w:sz w:val="15"/>
                <w:szCs w:val="15"/>
                <w:color w:val="auto"/>
              </w:rPr>
            </w:pPr>
          </w:p>
        </w:tc>
      </w:tr>
      <w:tr>
        <w:trPr>
          <w:trHeight w:val="170"/>
        </w:trPr>
        <w:tc>
          <w:tcPr>
            <w:tcW w:w="60" w:type="dxa"/>
            <w:vAlign w:val="bottom"/>
          </w:tcPr>
          <w:p>
            <w:pPr>
              <w:spacing w:after="0"/>
              <w:rPr>
                <w:sz w:val="14"/>
                <w:szCs w:val="14"/>
                <w:color w:val="auto"/>
              </w:rPr>
            </w:pPr>
          </w:p>
        </w:tc>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Restricted cash, end of period</w:t>
            </w: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9,215</w:t>
            </w:r>
          </w:p>
        </w:tc>
        <w:tc>
          <w:tcPr>
            <w:tcW w:w="60" w:type="dxa"/>
            <w:vAlign w:val="bottom"/>
            <w:tcBorders>
              <w:bottom w:val="single" w:sz="8" w:color="auto"/>
            </w:tcBorders>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end of period</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67,534</w:t>
            </w:r>
          </w:p>
        </w:tc>
        <w:tc>
          <w:tcPr>
            <w:tcW w:w="60" w:type="dxa"/>
            <w:vAlign w:val="bottom"/>
            <w:shd w:val="clear" w:color="auto" w:fill="CCEEFF"/>
          </w:tcPr>
          <w:p>
            <w:pPr>
              <w:spacing w:after="0"/>
              <w:rPr>
                <w:sz w:val="15"/>
                <w:szCs w:val="15"/>
                <w:color w:val="auto"/>
              </w:rPr>
            </w:pPr>
          </w:p>
        </w:tc>
      </w:tr>
      <w:tr>
        <w:trPr>
          <w:trHeight w:val="615"/>
        </w:trPr>
        <w:tc>
          <w:tcPr>
            <w:tcW w:w="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r>
      <w:tr>
        <w:trPr>
          <w:trHeight w:val="154"/>
        </w:trPr>
        <w:tc>
          <w:tcPr>
            <w:tcW w:w="65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9"/>
        </w:trPr>
        <w:tc>
          <w:tcPr>
            <w:tcW w:w="65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7"/>
              </w:rPr>
              <w:t>Cash paid for interest, net of capitalized interest during the years ended December 31, 2025, 2024 and 2023 of $12,472, $18,360</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r>
      <w:tr>
        <w:trPr>
          <w:trHeight w:val="18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$16,410 respectively</w:t>
            </w:r>
          </w:p>
        </w:tc>
        <w:tc>
          <w:tcPr>
            <w:tcW w:w="90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132,043</w:t>
            </w:r>
          </w:p>
        </w:tc>
        <w:tc>
          <w:tcPr>
            <w:tcW w:w="4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132,253</w:t>
            </w:r>
          </w:p>
        </w:tc>
        <w:tc>
          <w:tcPr>
            <w:tcW w:w="6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107,838</w:t>
            </w:r>
          </w:p>
        </w:tc>
        <w:tc>
          <w:tcPr>
            <w:tcW w:w="60" w:type="dxa"/>
            <w:vAlign w:val="bottom"/>
          </w:tcPr>
          <w:p>
            <w:pPr>
              <w:spacing w:after="0"/>
              <w:rPr>
                <w:sz w:val="16"/>
                <w:szCs w:val="16"/>
                <w:color w:val="auto"/>
              </w:rPr>
            </w:pPr>
          </w:p>
        </w:tc>
      </w:tr>
      <w:tr>
        <w:trPr>
          <w:trHeight w:val="17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60" w:type="dxa"/>
            <w:vAlign w:val="bottom"/>
          </w:tcPr>
          <w:p>
            <w:pPr>
              <w:spacing w:after="0"/>
              <w:rPr>
                <w:sz w:val="14"/>
                <w:szCs w:val="14"/>
                <w:color w:val="auto"/>
              </w:rPr>
            </w:pPr>
          </w:p>
        </w:tc>
      </w:tr>
      <w:tr>
        <w:trPr>
          <w:trHeight w:val="181"/>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activity:</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64"/>
        </w:trPr>
        <w:tc>
          <w:tcPr>
            <w:tcW w:w="60" w:type="dxa"/>
            <w:vAlign w:val="bottom"/>
          </w:tcPr>
          <w:p>
            <w:pPr>
              <w:spacing w:after="0"/>
              <w:rPr>
                <w:sz w:val="14"/>
                <w:szCs w:val="14"/>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Dividends and distributions declared but not paid</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26,256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26,017</w:t>
            </w:r>
          </w:p>
        </w:tc>
        <w:tc>
          <w:tcPr>
            <w:tcW w:w="60" w:type="dxa"/>
            <w:vAlign w:val="bottom"/>
          </w:tcPr>
          <w:p>
            <w:pPr>
              <w:spacing w:after="0"/>
              <w:rPr>
                <w:sz w:val="14"/>
                <w:szCs w:val="14"/>
                <w:color w:val="auto"/>
              </w:rPr>
            </w:pPr>
          </w:p>
        </w:tc>
      </w:tr>
      <w:tr>
        <w:trPr>
          <w:trHeight w:val="187"/>
        </w:trPr>
        <w:tc>
          <w:tcPr>
            <w:tcW w:w="60" w:type="dxa"/>
            <w:vAlign w:val="bottom"/>
            <w:shd w:val="clear" w:color="auto" w:fill="CCEEFF"/>
          </w:tcPr>
          <w:p>
            <w:pPr>
              <w:spacing w:after="0"/>
              <w:rPr>
                <w:sz w:val="16"/>
                <w:szCs w:val="16"/>
                <w:color w:val="auto"/>
              </w:rPr>
            </w:pPr>
          </w:p>
        </w:tc>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acquired lease intangibles from consolidation of operating properties</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r>
      <w:tr>
        <w:trPr>
          <w:trHeight w:val="164"/>
        </w:trPr>
        <w:tc>
          <w:tcPr>
            <w:tcW w:w="60" w:type="dxa"/>
            <w:vAlign w:val="bottom"/>
          </w:tcPr>
          <w:p>
            <w:pPr>
              <w:spacing w:after="0"/>
              <w:rPr>
                <w:sz w:val="14"/>
                <w:szCs w:val="14"/>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other assets from consolidation of operating properties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r>
      <w:tr>
        <w:trPr>
          <w:trHeight w:val="187"/>
        </w:trPr>
        <w:tc>
          <w:tcPr>
            <w:tcW w:w="60" w:type="dxa"/>
            <w:vAlign w:val="bottom"/>
            <w:shd w:val="clear" w:color="auto" w:fill="CCEEFF"/>
          </w:tcPr>
          <w:p>
            <w:pPr>
              <w:spacing w:after="0"/>
              <w:rPr>
                <w:sz w:val="16"/>
                <w:szCs w:val="16"/>
                <w:color w:val="auto"/>
              </w:rPr>
            </w:pPr>
          </w:p>
        </w:tc>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intangible assets from consolidation of operating properties</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r>
      <w:tr>
        <w:trPr>
          <w:trHeight w:val="164"/>
        </w:trPr>
        <w:tc>
          <w:tcPr>
            <w:tcW w:w="60" w:type="dxa"/>
            <w:vAlign w:val="bottom"/>
          </w:tcPr>
          <w:p>
            <w:pPr>
              <w:spacing w:after="0"/>
              <w:rPr>
                <w:sz w:val="14"/>
                <w:szCs w:val="14"/>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deferred costs from consolidation of operating properties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r>
      <w:tr>
        <w:trPr>
          <w:trHeight w:val="187"/>
        </w:trPr>
        <w:tc>
          <w:tcPr>
            <w:tcW w:w="60" w:type="dxa"/>
            <w:vAlign w:val="bottom"/>
            <w:shd w:val="clear" w:color="auto" w:fill="CCEEFF"/>
          </w:tcPr>
          <w:p>
            <w:pPr>
              <w:spacing w:after="0"/>
              <w:rPr>
                <w:sz w:val="16"/>
                <w:szCs w:val="16"/>
                <w:color w:val="auto"/>
              </w:rPr>
            </w:pPr>
          </w:p>
        </w:tc>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right of use asset from consolidation of operating properties</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r>
      <w:tr>
        <w:trPr>
          <w:trHeight w:val="164"/>
        </w:trPr>
        <w:tc>
          <w:tcPr>
            <w:tcW w:w="60" w:type="dxa"/>
            <w:vAlign w:val="bottom"/>
          </w:tcPr>
          <w:p>
            <w:pPr>
              <w:spacing w:after="0"/>
              <w:rPr>
                <w:sz w:val="14"/>
                <w:szCs w:val="14"/>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operating real estate from consolidation of operating properties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(490,162)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r>
      <w:tr>
        <w:trPr>
          <w:trHeight w:val="187"/>
        </w:trPr>
        <w:tc>
          <w:tcPr>
            <w:tcW w:w="60" w:type="dxa"/>
            <w:vAlign w:val="bottom"/>
            <w:shd w:val="clear" w:color="auto" w:fill="CCEEFF"/>
          </w:tcPr>
          <w:p>
            <w:pPr>
              <w:spacing w:after="0"/>
              <w:rPr>
                <w:sz w:val="16"/>
                <w:szCs w:val="16"/>
                <w:color w:val="auto"/>
              </w:rPr>
            </w:pPr>
          </w:p>
        </w:tc>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secured debt as a result of consolidation of operating properties</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178,014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r>
      <w:tr>
        <w:trPr>
          <w:trHeight w:val="170"/>
        </w:trPr>
        <w:tc>
          <w:tcPr>
            <w:tcW w:w="60" w:type="dxa"/>
            <w:vAlign w:val="bottom"/>
          </w:tcPr>
          <w:p>
            <w:pPr>
              <w:spacing w:after="0"/>
              <w:rPr>
                <w:sz w:val="14"/>
                <w:szCs w:val="14"/>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Investment in unconsolidated joint ventures eliminated upon consolidation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266,486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r>
      <w:tr>
        <w:trPr>
          <w:trHeight w:val="181"/>
        </w:trPr>
        <w:tc>
          <w:tcPr>
            <w:tcW w:w="60" w:type="dxa"/>
            <w:vAlign w:val="bottom"/>
            <w:shd w:val="clear" w:color="auto" w:fill="CCEEFF"/>
          </w:tcPr>
          <w:p>
            <w:pPr>
              <w:spacing w:after="0"/>
              <w:rPr>
                <w:sz w:val="15"/>
                <w:szCs w:val="15"/>
                <w:color w:val="auto"/>
              </w:rPr>
            </w:pPr>
          </w:p>
        </w:tc>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investment in real estate ventures as a result of deconsolidation</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8,595</w:t>
            </w:r>
          </w:p>
        </w:tc>
        <w:tc>
          <w:tcPr>
            <w:tcW w:w="60" w:type="dxa"/>
            <w:vAlign w:val="bottom"/>
          </w:tcPr>
          <w:p>
            <w:pPr>
              <w:spacing w:after="0"/>
              <w:rPr>
                <w:sz w:val="15"/>
                <w:szCs w:val="15"/>
                <w:color w:val="auto"/>
              </w:rPr>
            </w:pPr>
          </w:p>
        </w:tc>
      </w:tr>
      <w:tr>
        <w:trPr>
          <w:trHeight w:val="164"/>
        </w:trPr>
        <w:tc>
          <w:tcPr>
            <w:tcW w:w="60" w:type="dxa"/>
            <w:vAlign w:val="bottom"/>
          </w:tcPr>
          <w:p>
            <w:pPr>
              <w:spacing w:after="0"/>
              <w:rPr>
                <w:sz w:val="14"/>
                <w:szCs w:val="14"/>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operating real estate from deconsolidation of operating properties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(7,814)</w:t>
            </w:r>
          </w:p>
        </w:tc>
        <w:tc>
          <w:tcPr>
            <w:tcW w:w="60" w:type="dxa"/>
            <w:vAlign w:val="bottom"/>
          </w:tcPr>
          <w:p>
            <w:pPr>
              <w:spacing w:after="0"/>
              <w:rPr>
                <w:sz w:val="14"/>
                <w:szCs w:val="14"/>
                <w:color w:val="auto"/>
              </w:rPr>
            </w:pPr>
          </w:p>
        </w:tc>
      </w:tr>
      <w:tr>
        <w:trPr>
          <w:trHeight w:val="187"/>
        </w:trPr>
        <w:tc>
          <w:tcPr>
            <w:tcW w:w="60" w:type="dxa"/>
            <w:vAlign w:val="bottom"/>
            <w:shd w:val="clear" w:color="auto" w:fill="CCEEFF"/>
          </w:tcPr>
          <w:p>
            <w:pPr>
              <w:spacing w:after="0"/>
              <w:rPr>
                <w:sz w:val="16"/>
                <w:szCs w:val="16"/>
                <w:color w:val="auto"/>
              </w:rPr>
            </w:pPr>
          </w:p>
        </w:tc>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notes receivable from sale of properties</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r>
      <w:tr>
        <w:trPr>
          <w:trHeight w:val="170"/>
        </w:trPr>
        <w:tc>
          <w:tcPr>
            <w:tcW w:w="60" w:type="dxa"/>
            <w:vAlign w:val="bottom"/>
          </w:tcPr>
          <w:p>
            <w:pPr>
              <w:spacing w:after="0"/>
              <w:rPr>
                <w:sz w:val="14"/>
                <w:szCs w:val="14"/>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capital expenditures financed through accounts payable at period end</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(3,282)</w:t>
            </w:r>
          </w:p>
        </w:tc>
        <w:tc>
          <w:tcPr>
            <w:tcW w:w="60" w:type="dxa"/>
            <w:vAlign w:val="bottom"/>
          </w:tcPr>
          <w:p>
            <w:pPr>
              <w:spacing w:after="0"/>
              <w:rPr>
                <w:sz w:val="14"/>
                <w:szCs w:val="14"/>
                <w:color w:val="auto"/>
              </w:rPr>
            </w:pPr>
          </w:p>
        </w:tc>
      </w:tr>
      <w:tr>
        <w:trPr>
          <w:trHeight w:val="181"/>
        </w:trPr>
        <w:tc>
          <w:tcPr>
            <w:tcW w:w="60" w:type="dxa"/>
            <w:vAlign w:val="bottom"/>
            <w:shd w:val="clear" w:color="auto" w:fill="CCEEFF"/>
          </w:tcPr>
          <w:p>
            <w:pPr>
              <w:spacing w:after="0"/>
              <w:rPr>
                <w:sz w:val="15"/>
                <w:szCs w:val="15"/>
                <w:color w:val="auto"/>
              </w:rPr>
            </w:pPr>
          </w:p>
        </w:tc>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capital expenditures financed through retention payable at period end</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60" w:type="dxa"/>
            <w:vAlign w:val="bottom"/>
          </w:tcPr>
          <w:p>
            <w:pPr>
              <w:spacing w:after="0"/>
              <w:rPr>
                <w:sz w:val="15"/>
                <w:szCs w:val="15"/>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 estate investments: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properties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3,753,780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3,367,547</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(1,171,803)</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ground leases,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Right of use asset - operating leases, net</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18,412</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real estate investments, net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2,221,389</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Construction-in-progress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94,628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Land held for development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81,318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leasehold interests in land held for development, net</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real estate investments, net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2,780,605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2,425,097</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90,229</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and escrows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12,703</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rent receivable, net of allowance of $424 and $909 as of December 31, 2025 and December 31, 2024, respectively</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184,312</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570,455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costs,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84,317</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122,227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113,647</w:t>
            </w:r>
          </w:p>
        </w:tc>
        <w:tc>
          <w:tcPr>
            <w:tcW w:w="0" w:type="dxa"/>
            <w:vAlign w:val="bottom"/>
          </w:tcPr>
          <w:p>
            <w:pPr>
              <w:spacing w:after="0"/>
              <w:rPr>
                <w:sz w:val="1"/>
                <w:szCs w:val="1"/>
                <w:color w:val="auto"/>
              </w:rPr>
            </w:pPr>
          </w:p>
        </w:tc>
      </w:tr>
      <w:tr>
        <w:trPr>
          <w:trHeight w:val="203"/>
        </w:trPr>
        <w:tc>
          <w:tcPr>
            <w:tcW w:w="82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3,492,213</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PARTNERS' EQUITY</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Secured term loan, net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275,338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Unsecured term loan,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318,949</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Unsecured senior notes,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2,073,394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1,618,527</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129,717</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payable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gains and rent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35,414</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7,292</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liability - operating leases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23,546</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12,587</w:t>
            </w: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2,447,626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(See Note 19)</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Redeemable limited partnership units at redemption value; 515,595 and 515,595 issued and outstanding as of December 31, 2025 and</w:t>
            </w:r>
          </w:p>
        </w:tc>
        <w:tc>
          <w:tcPr>
            <w:tcW w:w="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2024, respectively</w:t>
            </w:r>
          </w:p>
        </w:tc>
        <w:tc>
          <w:tcPr>
            <w:tcW w:w="1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Brandywine Operating Partnership, L.P.'s equity:</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2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General Partnership Capital; $173,699,039 and $172,665,995 units issued and outstanding as of December 31, 2025 and December 31,</w:t>
            </w:r>
          </w:p>
        </w:tc>
        <w:tc>
          <w:tcPr>
            <w:tcW w:w="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1,036,712</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2024, respectively</w:t>
            </w:r>
          </w:p>
        </w:tc>
        <w:tc>
          <w:tcPr>
            <w:tcW w:w="1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Brandywine Operating Partnership, L.P.'s equity</w:t>
            </w: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793,621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1,038,902</w:t>
            </w: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 - consolidated real estate ventures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partners'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1,041,717</w:t>
            </w:r>
          </w:p>
        </w:tc>
        <w:tc>
          <w:tcPr>
            <w:tcW w:w="0" w:type="dxa"/>
            <w:vAlign w:val="bottom"/>
          </w:tcPr>
          <w:p>
            <w:pPr>
              <w:spacing w:after="0"/>
              <w:rPr>
                <w:sz w:val="1"/>
                <w:szCs w:val="1"/>
                <w:color w:val="auto"/>
              </w:rPr>
            </w:pPr>
          </w:p>
        </w:tc>
      </w:tr>
      <w:tr>
        <w:trPr>
          <w:trHeight w:val="203"/>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partners'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3,492,213</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Rents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457,504</w:t>
            </w:r>
          </w:p>
        </w:tc>
        <w:tc>
          <w:tcPr>
            <w:tcW w:w="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479,849</w:t>
            </w:r>
          </w:p>
        </w:tc>
        <w:tc>
          <w:tcPr>
            <w:tcW w:w="0" w:type="dxa"/>
            <w:vAlign w:val="bottom"/>
          </w:tcPr>
          <w:p>
            <w:pPr>
              <w:spacing w:after="0"/>
              <w:rPr>
                <w:sz w:val="1"/>
                <w:szCs w:val="1"/>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Third party management fees, labor reimbursement and leasing</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24,417</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w:t>
            </w:r>
          </w:p>
        </w:tc>
        <w:tc>
          <w:tcPr>
            <w:tcW w:w="0" w:type="dxa"/>
            <w:vAlign w:val="bottom"/>
          </w:tcPr>
          <w:p>
            <w:pPr>
              <w:spacing w:after="0"/>
              <w:rPr>
                <w:sz w:val="1"/>
                <w:szCs w:val="1"/>
                <w:color w:val="auto"/>
              </w:rPr>
            </w:pPr>
          </w:p>
        </w:tc>
      </w:tr>
      <w:tr>
        <w:trPr>
          <w:trHeight w:val="189"/>
        </w:trPr>
        <w:tc>
          <w:tcPr>
            <w:tcW w:w="6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514,651</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129,885</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49,974</w:t>
            </w:r>
          </w:p>
        </w:tc>
        <w:tc>
          <w:tcPr>
            <w:tcW w:w="0" w:type="dxa"/>
            <w:vAlign w:val="bottom"/>
          </w:tcPr>
          <w:p>
            <w:pPr>
              <w:spacing w:after="0"/>
              <w:rPr>
                <w:sz w:val="1"/>
                <w:szCs w:val="1"/>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Third party management expenses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10,088</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188,797</w:t>
            </w:r>
          </w:p>
        </w:tc>
        <w:tc>
          <w:tcPr>
            <w:tcW w:w="0" w:type="dxa"/>
            <w:vAlign w:val="bottom"/>
          </w:tcPr>
          <w:p>
            <w:pPr>
              <w:spacing w:after="0"/>
              <w:rPr>
                <w:sz w:val="1"/>
                <w:szCs w:val="1"/>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34,862</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impairment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131,573</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467,045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452,934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545,179</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 on sale of real estate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on disposition of real estate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 (loss) on sale of undepreciated real estate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gain on sale of real estate</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(21,581)</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(95,456)</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 amortization of deferred financing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0" w:type="dxa"/>
            <w:vAlign w:val="bottom"/>
          </w:tcPr>
          <w:p>
            <w:pPr>
              <w:spacing w:after="0"/>
              <w:rPr>
                <w:sz w:val="1"/>
                <w:szCs w:val="1"/>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 loss of unconsolidated real estate ventures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(77,915)</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 on real estate venture transactions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Gain (loss) on early extinguishment of debt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before income taxes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(197,331)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provision</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(178,867)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(197,403)</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 - consolidated real estate ventures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Brandywine Operating Partnership</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(178,784)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Nonforfeitable dividends allocated to unvested restricted unitholders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2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Partnership Unitholders of Brandywine Operating Partnership, L.P.</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(180,015)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(197,948)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loss per Common Partnership Unit</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loss per Common Partnership Unit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Basic weighted average common partnership units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173,979,997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173,042,591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172,475,645</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weighted average common partnership units outstanding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173,979,997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173,042,591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172,475,645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(178,867)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(197,403)</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derivative financial instruments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w:t>
            </w:r>
          </w:p>
        </w:tc>
      </w:tr>
      <w:tr>
        <w:trPr>
          <w:trHeight w:val="190"/>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(4,579)</w:t>
            </w:r>
          </w:p>
        </w:tc>
      </w:tr>
      <w:tr>
        <w:trPr>
          <w:trHeight w:val="20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(182,838)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(201,982)</w:t>
            </w:r>
          </w:p>
        </w:tc>
      </w:tr>
      <w:tr>
        <w:trPr>
          <w:trHeight w:val="196"/>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 - consolidated real estate ventures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2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Brandywine Operating Partnership</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(182,755)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256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General Partner Capital</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Total Partners' Equity</w:t>
            </w:r>
          </w:p>
        </w:tc>
        <w:tc>
          <w:tcPr>
            <w:tcW w:w="0" w:type="dxa"/>
            <w:vAlign w:val="bottom"/>
          </w:tcPr>
          <w:p>
            <w:pPr>
              <w:spacing w:after="0"/>
              <w:rPr>
                <w:sz w:val="1"/>
                <w:szCs w:val="1"/>
                <w:color w:val="auto"/>
              </w:rPr>
            </w:pPr>
          </w:p>
        </w:tc>
      </w:tr>
      <w:tr>
        <w:trPr>
          <w:trHeight w:val="101"/>
        </w:trPr>
        <w:tc>
          <w:tcPr>
            <w:tcW w:w="5160" w:type="dxa"/>
            <w:vAlign w:val="bottom"/>
          </w:tcPr>
          <w:p>
            <w:pPr>
              <w:spacing w:after="0"/>
              <w:rPr>
                <w:sz w:val="8"/>
                <w:szCs w:val="8"/>
                <w:color w:val="auto"/>
              </w:rPr>
            </w:pPr>
          </w:p>
        </w:tc>
        <w:tc>
          <w:tcPr>
            <w:tcW w:w="1240" w:type="dxa"/>
            <w:vAlign w:val="bottom"/>
            <w:tcBorders>
              <w:top w:val="single" w:sz="8" w:color="auto"/>
            </w:tcBorders>
            <w:gridSpan w:val="2"/>
          </w:tcPr>
          <w:p>
            <w:pPr>
              <w:ind w:left="440"/>
              <w:spacing w:after="0" w:line="102" w:lineRule="exact"/>
              <w:rPr>
                <w:sz w:val="20"/>
                <w:szCs w:val="20"/>
                <w:color w:val="auto"/>
              </w:rPr>
            </w:pPr>
            <w:r>
              <w:rPr>
                <w:rFonts w:ascii="Times New Roman" w:cs="Times New Roman" w:eastAsia="Times New Roman" w:hAnsi="Times New Roman"/>
                <w:sz w:val="11"/>
                <w:szCs w:val="11"/>
                <w:b w:val="1"/>
                <w:bCs w:val="1"/>
                <w:color w:val="auto"/>
              </w:rPr>
              <w:t>Units</w:t>
            </w:r>
          </w:p>
        </w:tc>
        <w:tc>
          <w:tcPr>
            <w:tcW w:w="2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357"/>
              <w:spacing w:after="0" w:line="102"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100" w:type="dxa"/>
            <w:vAlign w:val="bottom"/>
          </w:tcPr>
          <w:p>
            <w:pPr>
              <w:spacing w:after="0"/>
              <w:rPr>
                <w:sz w:val="8"/>
                <w:szCs w:val="8"/>
                <w:color w:val="auto"/>
              </w:rPr>
            </w:pPr>
          </w:p>
        </w:tc>
        <w:tc>
          <w:tcPr>
            <w:tcW w:w="104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w:t>
            </w: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(Loss)</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Consolidated Real</w:t>
            </w: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1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Estate Ventures</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171,569,807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1,623,738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3"/>
                <w:szCs w:val="13"/>
                <w:color w:val="auto"/>
                <w:w w:val="95"/>
              </w:rPr>
              <w:t>3,569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2,832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1,630,139</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(197,403)</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3"/>
                <w:szCs w:val="13"/>
                <w:color w:val="auto"/>
              </w:rPr>
              <w:t>(4,579)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(4,579)</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545,544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10,880</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 $0.68 per unit)</w:t>
            </w: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(117,617)</w:t>
            </w:r>
          </w:p>
        </w:tc>
        <w:tc>
          <w:tcPr>
            <w:tcW w:w="0" w:type="dxa"/>
            <w:vAlign w:val="bottom"/>
          </w:tcPr>
          <w:p>
            <w:pPr>
              <w:spacing w:after="0"/>
              <w:rPr>
                <w:sz w:val="1"/>
                <w:szCs w:val="1"/>
                <w:color w:val="auto"/>
              </w:rPr>
            </w:pPr>
          </w:p>
        </w:tc>
      </w:tr>
      <w:tr>
        <w:trPr>
          <w:trHeight w:val="163"/>
        </w:trPr>
        <w:tc>
          <w:tcPr>
            <w:tcW w:w="51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172,097,661</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1,319,572</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center"/>
              <w:ind w:left="579"/>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2,810</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1,321,372</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(196,487)</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599"/>
              <w:spacing w:after="0"/>
              <w:rPr>
                <w:sz w:val="20"/>
                <w:szCs w:val="20"/>
                <w:color w:val="auto"/>
              </w:rPr>
            </w:pPr>
            <w:r>
              <w:rPr>
                <w:rFonts w:ascii="Times New Roman" w:cs="Times New Roman" w:eastAsia="Times New Roman" w:hAnsi="Times New Roman"/>
                <w:sz w:val="13"/>
                <w:szCs w:val="13"/>
                <w:color w:val="auto"/>
                <w:w w:val="95"/>
              </w:rPr>
              <w:t>3,200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601,706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18,892</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0" w:type="dxa"/>
            <w:vAlign w:val="bottom"/>
          </w:tcPr>
          <w:p>
            <w:pPr>
              <w:spacing w:after="0"/>
              <w:rPr>
                <w:sz w:val="1"/>
                <w:szCs w:val="1"/>
                <w:color w:val="auto"/>
              </w:rPr>
            </w:pPr>
          </w:p>
        </w:tc>
      </w:tr>
      <w:tr>
        <w:trPr>
          <w:trHeight w:val="17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 $0.60 per unit)</w:t>
            </w: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(104,708)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(104,708)</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172,665,995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1,036,712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3"/>
                <w:szCs w:val="13"/>
                <w:color w:val="auto"/>
                <w:w w:val="95"/>
              </w:rPr>
              <w:t>2,190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2,815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1,041,717</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(178,867)</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3"/>
                <w:szCs w:val="13"/>
                <w:color w:val="auto"/>
              </w:rPr>
              <w:t>(3,971)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1,166,628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17,600</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partnership interest in consolidated real estate venture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0" w:type="dxa"/>
            <w:vAlign w:val="bottom"/>
          </w:tcPr>
          <w:p>
            <w:pPr>
              <w:spacing w:after="0"/>
              <w:rPr>
                <w:sz w:val="1"/>
                <w:szCs w:val="1"/>
                <w:color w:val="auto"/>
              </w:rPr>
            </w:pPr>
          </w:p>
        </w:tc>
      </w:tr>
      <w:tr>
        <w:trPr>
          <w:trHeight w:val="170"/>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($0.53 per unit)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(80,916)</w:t>
            </w:r>
          </w:p>
        </w:tc>
        <w:tc>
          <w:tcPr>
            <w:tcW w:w="0" w:type="dxa"/>
            <w:vAlign w:val="bottom"/>
          </w:tcPr>
          <w:p>
            <w:pPr>
              <w:spacing w:after="0"/>
              <w:rPr>
                <w:sz w:val="1"/>
                <w:szCs w:val="1"/>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8"/>
        </w:trPr>
        <w:tc>
          <w:tcPr>
            <w:tcW w:w="51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173,699,039</w:t>
            </w:r>
          </w:p>
        </w:tc>
        <w:tc>
          <w:tcPr>
            <w:tcW w:w="100" w:type="dxa"/>
            <w:vAlign w:val="bottom"/>
          </w:tcPr>
          <w:p>
            <w:pPr>
              <w:spacing w:after="0"/>
              <w:rPr>
                <w:sz w:val="13"/>
                <w:szCs w:val="13"/>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795,402</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center"/>
              <w:ind w:left="579"/>
              <w:spacing w:after="0"/>
              <w:rPr>
                <w:sz w:val="20"/>
                <w:szCs w:val="20"/>
                <w:color w:val="auto"/>
              </w:rPr>
            </w:pPr>
            <w:r>
              <w:rPr>
                <w:rFonts w:ascii="Times New Roman" w:cs="Times New Roman" w:eastAsia="Times New Roman" w:hAnsi="Times New Roman"/>
                <w:sz w:val="13"/>
                <w:szCs w:val="13"/>
                <w:color w:val="auto"/>
              </w:rPr>
              <w:t>(1,781)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2,732</w:t>
            </w:r>
          </w:p>
        </w:tc>
        <w:tc>
          <w:tcPr>
            <w:tcW w:w="100" w:type="dxa"/>
            <w:vAlign w:val="bottom"/>
          </w:tcPr>
          <w:p>
            <w:pPr>
              <w:spacing w:after="0"/>
              <w:rPr>
                <w:sz w:val="13"/>
                <w:szCs w:val="13"/>
                <w:color w:val="auto"/>
              </w:rPr>
            </w:pPr>
          </w:p>
        </w:tc>
        <w:tc>
          <w:tcPr>
            <w:tcW w:w="32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796,353</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9"/>
        </w:trPr>
        <w:tc>
          <w:tcPr>
            <w:tcW w:w="66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6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(178,867)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(197,403)</w:t>
            </w:r>
          </w:p>
        </w:tc>
      </w:tr>
      <w:tr>
        <w:trPr>
          <w:trHeight w:val="170"/>
        </w:trPr>
        <w:tc>
          <w:tcPr>
            <w:tcW w:w="66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income to net cash from operating activities: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176,428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188,797</w:t>
            </w:r>
          </w:p>
        </w:tc>
      </w:tr>
      <w:tr>
        <w:trPr>
          <w:trHeight w:val="170"/>
        </w:trPr>
        <w:tc>
          <w:tcPr>
            <w:tcW w:w="6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4,369</w:t>
            </w:r>
          </w:p>
        </w:tc>
      </w:tr>
      <w:tr>
        <w:trPr>
          <w:trHeight w:val="18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Amortization of debt discount/(premium), net</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r>
      <w:tr>
        <w:trPr>
          <w:trHeight w:val="170"/>
        </w:trPr>
        <w:tc>
          <w:tcPr>
            <w:tcW w:w="6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stock compensation costs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9,847</w:t>
            </w:r>
          </w:p>
        </w:tc>
      </w:tr>
      <w:tr>
        <w:trPr>
          <w:trHeight w:val="18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Straight-line rent income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(9,270)</w:t>
            </w:r>
          </w:p>
        </w:tc>
      </w:tr>
      <w:tr>
        <w:trPr>
          <w:trHeight w:val="170"/>
        </w:trPr>
        <w:tc>
          <w:tcPr>
            <w:tcW w:w="6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acquired above (below) market leases, net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w:t>
            </w:r>
          </w:p>
        </w:tc>
      </w:tr>
      <w:tr>
        <w:trPr>
          <w:trHeight w:val="18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Straight-line ground rent expense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w:t>
            </w:r>
          </w:p>
        </w:tc>
      </w:tr>
      <w:tr>
        <w:trPr>
          <w:trHeight w:val="170"/>
        </w:trPr>
        <w:tc>
          <w:tcPr>
            <w:tcW w:w="6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gain on real estate venture transactions</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r>
      <w:tr>
        <w:trPr>
          <w:trHeight w:val="18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gain on disposition of real estate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(8,947)</w:t>
            </w:r>
          </w:p>
        </w:tc>
      </w:tr>
      <w:tr>
        <w:trPr>
          <w:trHeight w:val="170"/>
        </w:trPr>
        <w:tc>
          <w:tcPr>
            <w:tcW w:w="6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Gain (loss) on early extinguishment of debt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8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Provision for impairment</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131,573</w:t>
            </w:r>
          </w:p>
        </w:tc>
      </w:tr>
      <w:tr>
        <w:trPr>
          <w:trHeight w:val="170"/>
        </w:trPr>
        <w:tc>
          <w:tcPr>
            <w:tcW w:w="6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Loss from unconsolidated real estate ventures, including income distributions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57,682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77,915</w:t>
            </w:r>
          </w:p>
        </w:tc>
      </w:tr>
      <w:tr>
        <w:trPr>
          <w:trHeight w:val="18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Income tax provision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0"/>
        </w:trPr>
        <w:tc>
          <w:tcPr>
            <w:tcW w:w="66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6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Accounts receivable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70"/>
        </w:trPr>
        <w:tc>
          <w:tcPr>
            <w:tcW w:w="66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Other assets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w:t>
            </w:r>
          </w:p>
        </w:tc>
      </w:tr>
      <w:tr>
        <w:trPr>
          <w:trHeight w:val="181"/>
        </w:trPr>
        <w:tc>
          <w:tcPr>
            <w:tcW w:w="6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(12,928)</w:t>
            </w:r>
          </w:p>
        </w:tc>
      </w:tr>
      <w:tr>
        <w:trPr>
          <w:trHeight w:val="170"/>
        </w:trPr>
        <w:tc>
          <w:tcPr>
            <w:tcW w:w="66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Deferred income, gains and rent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81"/>
        </w:trPr>
        <w:tc>
          <w:tcPr>
            <w:tcW w:w="6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liabilities</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w:t>
            </w:r>
          </w:p>
        </w:tc>
      </w:tr>
      <w:tr>
        <w:trPr>
          <w:trHeight w:val="163"/>
        </w:trPr>
        <w:tc>
          <w:tcPr>
            <w:tcW w:w="6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116,701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181,125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177,273</w:t>
            </w:r>
          </w:p>
        </w:tc>
      </w:tr>
      <w:tr>
        <w:trPr>
          <w:trHeight w:val="16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 of properties</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(7,747)</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 of partners interest in consolidated real estate venture, net of cash acquired</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(105,819)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sale of properties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76,804</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note receivable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 for tenant improvements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(48,939)</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 for redevelopments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(59,984)</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 for developments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(47,537)</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Advances to and from the purchase of tenant assets, net of repayments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 unconsolidated real estate ventures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(70,653)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(85,922)</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 for real estate</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distributions from unconsolidated real estate ventures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3,790</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Leasing costs paid</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(12,749)</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(7,879)</w:t>
            </w:r>
          </w:p>
        </w:tc>
      </w:tr>
      <w:tr>
        <w:trPr>
          <w:trHeight w:val="163"/>
        </w:trPr>
        <w:tc>
          <w:tcPr>
            <w:tcW w:w="6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(206,282)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(120,185)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(174,912)</w:t>
            </w:r>
          </w:p>
        </w:tc>
      </w:tr>
      <w:tr>
        <w:trPr>
          <w:trHeight w:val="16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credit facility borrowings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209,000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215,000</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credit facility borrowings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(303,500)</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unsecured notes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459,000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unsecured notes</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(64,164)</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unsecured term loan</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unsecured term loan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secured term loan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57,324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245,000</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 of secured term loan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(255,428)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construction loan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13,824</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construction loan</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(43,617)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financing costs paid</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(4,371)</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used for employee taxes upon vesting of share awards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limited partnership units</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paid to preferred and common partnership units</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(93,295)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(104,787)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(124,627)</w:t>
            </w:r>
          </w:p>
        </w:tc>
      </w:tr>
      <w:tr>
        <w:trPr>
          <w:trHeight w:val="163"/>
        </w:trPr>
        <w:tc>
          <w:tcPr>
            <w:tcW w:w="6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55,706</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(32,297)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46,786</w:t>
            </w:r>
          </w:p>
        </w:tc>
      </w:tr>
      <w:tr>
        <w:trPr>
          <w:trHeight w:val="175"/>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Increase/(Decrease) in cash and cash equivalents and restricted cash</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49,147</w:t>
            </w:r>
          </w:p>
        </w:tc>
      </w:tr>
      <w:tr>
        <w:trPr>
          <w:trHeight w:val="170"/>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year</w:t>
            </w: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67,534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18,387</w:t>
            </w:r>
          </w:p>
        </w:tc>
      </w:tr>
      <w:tr>
        <w:trPr>
          <w:trHeight w:val="20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at end of period</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Reconciliation of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11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2"/>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900" w:type="dxa"/>
            <w:vAlign w:val="bottom"/>
          </w:tcPr>
          <w:p>
            <w:pPr>
              <w:jc w:val="right"/>
              <w:ind w:right="7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90,229</w:t>
            </w:r>
          </w:p>
        </w:tc>
        <w:tc>
          <w:tcPr>
            <w:tcW w:w="12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17,551</w:t>
            </w:r>
          </w:p>
        </w:tc>
      </w:tr>
      <w:tr>
        <w:trPr>
          <w:trHeight w:val="18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 beginning of period</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5,948</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w:t>
            </w:r>
          </w:p>
        </w:tc>
      </w:tr>
      <w:tr>
        <w:trPr>
          <w:trHeight w:val="16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beginning of period</w:t>
            </w:r>
          </w:p>
        </w:tc>
        <w:tc>
          <w:tcPr>
            <w:tcW w:w="90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67,534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18,387</w:t>
            </w:r>
          </w:p>
        </w:tc>
      </w:tr>
      <w:tr>
        <w:trPr>
          <w:trHeight w:val="148"/>
        </w:trPr>
        <w:tc>
          <w:tcPr>
            <w:tcW w:w="66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900" w:type="dxa"/>
            <w:vAlign w:val="bottom"/>
          </w:tcPr>
          <w:p>
            <w:pPr>
              <w:jc w:val="right"/>
              <w:ind w:right="7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32,284</w:t>
            </w:r>
          </w:p>
        </w:tc>
        <w:tc>
          <w:tcPr>
            <w:tcW w:w="12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90,229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58,319</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 end of period</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9,215</w:t>
            </w:r>
          </w:p>
        </w:tc>
      </w:tr>
      <w:tr>
        <w:trPr>
          <w:trHeight w:val="163"/>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 and restricted cash, end of period</w:t>
            </w:r>
          </w:p>
        </w:tc>
        <w:tc>
          <w:tcPr>
            <w:tcW w:w="90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62,302</w:t>
            </w:r>
          </w:p>
        </w:tc>
        <w:tc>
          <w:tcPr>
            <w:tcW w:w="12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67,534</w:t>
            </w:r>
          </w:p>
        </w:tc>
      </w:tr>
      <w:tr>
        <w:trPr>
          <w:trHeight w:val="290"/>
        </w:trPr>
        <w:tc>
          <w:tcPr>
            <w:tcW w:w="66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9"/>
        </w:trPr>
        <w:tc>
          <w:tcPr>
            <w:tcW w:w="66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6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29"/>
        </w:trPr>
        <w:tc>
          <w:tcPr>
            <w:tcW w:w="6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Cash paid for interest, net of capitalized interest during the years ended December 31, 2025, 2024 and 2023 of $12,472, $18,360</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8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$16,410 respectively</w:t>
            </w:r>
          </w:p>
        </w:tc>
        <w:tc>
          <w:tcPr>
            <w:tcW w:w="90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132,043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107,838</w:t>
            </w:r>
          </w:p>
        </w:tc>
      </w:tr>
      <w:tr>
        <w:trPr>
          <w:trHeight w:val="170"/>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8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activity:</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and distributions declared but not paid</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26,017</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acquired lease intangibles from consolidation of operating properties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other assets from consolidation of operating properties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intangible assets from consolidation of operating properties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deferred costs from consolidation of operating properties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right of use asset from consolidation of operating properties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operating real estate from consolidation of operating properties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(490,162)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secured debt as a result of consolidation of operating properties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178,014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 unconsolidated joint ventures eliminated upon consolidation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266,486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investment in real estate ventures as a result of deconsolidation</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8,595</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operating real estate from deconsolidation of operating properties</w:t>
            </w:r>
          </w:p>
        </w:tc>
        <w:tc>
          <w:tcPr>
            <w:tcW w:w="9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(7,814)</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notes receivable from sale of properties</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capital expenditures financed through accounts payable at period end</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(3,282)</w:t>
            </w:r>
          </w:p>
        </w:tc>
      </w:tr>
      <w:tr>
        <w:trPr>
          <w:trHeight w:val="18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capital expenditures financed through retention payable at period end</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82" w:name="page83"/>
    <w:bookmarkEnd w:id="82"/>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ORGANIZATION OF THE PARENT COMPANY AND THE OPERATING PARTNERSHIP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Brandywine Realty Trust (the “Parent Company”) is a self-administered and self-managed real estate investment trust (“REIT”) engaged in the acquisition, development, redevelopment, ownership, management, and operation of a portfolio of office and mixed-use properties. The Parent Company owns its assets and conducts its operations through Brandywine Operating Partnership, L.P. (the “Operating Partnership”) and subsidiaries of the Operating Partnership. The Parent Company is the sole general partner of the Operating Partnership and, as of December 31, 2025, owned a 99.7% interest in the Operating Partnership. The Parent Company’s common shares of beneficial interest are publicly traded on the New York Stock Exchange under the ticker symbol “BDN.” The Parent Company, the Operating Partnership, and their consolidated subsidiaries are collectively referred to as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owned and consolidated 65 properties that contained an aggregate of approximately 12.4 million net rentable square feet (collectively, the “Properties”). The Company’s core portfolio of operating properties (the “Core Properties”) exclude properties under development or redevelopment, recently completed - not stabilized properties and properties held for sale. The Properties were comprised of the following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Properties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Rentable Square Feet</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properties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10,364,889</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 properties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924,450</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Properties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11,289,339</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Redevelopment properties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721,035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Recently completed - not stabilized property (a)</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377,294</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Properties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12,387,668</w:t>
            </w:r>
          </w:p>
        </w:tc>
      </w:tr>
      <w:tr>
        <w:trPr>
          <w:trHeight w:val="21"/>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340" w:hanging="332"/>
        <w:spacing w:after="0" w:line="271" w:lineRule="auto"/>
        <w:tabs>
          <w:tab w:leader="none" w:pos="33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reclassifies a Property from “development/redevelopment property” to “recently completed – not-stabilized property” after the date that the development or redevelopment of the Property is placed in service and prior to the time that the Property reaches at least 90% occupancy. When the Property reaches at least 90% occupancy, the Property is considered stabilized and, at that time, the Company reclassifies the Property as a “Core Property.”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Properties, as of December 31, 2025, the Company owned 106.5 acres of land held for development. The Company also held a leasehold interest in one land parcel totaling 0.8 acres, acquired through a prepaid 99-year ground lease, and held options to purchase approximately 5.1 additional acres of undeveloped land. As of December 31, 2025, the total potential development that this inventory of land could support under current zoning and entitlements, including the parcels under option, amounted to an estimated 11.6 million net rentable square feet.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also owned economic interests in seven unconsolidated real estate ventures (see Note 4 “Investment in Unconsolidated Real Estate Ventures” for further information). The Properties and the properties owned by the unconsolidated real estate ventures are primarily located in or near Philadelphia, Pennsylvania; Austin, Texas; Washington, D.C.; Southern New Jersey; and Wilmington,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building square footage, rentable square feet, acres, occupancy percentage, the number of buildings, and tax basis are unaudited.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conducts its third-party real estate management services business primarily through nine management companies (collectively, the “Management Companies”): Brandywine Realty Services Corporation (“BRSCO”), BDN Management Inc. (“BMI”), Brandywine Properties I Limited, Inc. (“BPI”), BDN Brokerage, LLC (“BBL”), Brandywine Properties Management, L.P. (“BPM”), Brandywine Brokerage Services, LLC (“BBS”), BDN GC Services LLC (“BGCS”), Brandywine Cira Brokerage, LLC (“BCB”), and OCS/TRS Services (“OCS”). Each of BRSCO, BMI, BPI, and OCS is a taxable REIT subsidiary. BBS, BBL, BPM, BGCS, and BCB are tax disregarded entities wholly owned by the taxable REIT subsidiary entities. As of December 31, 2025, the Operating Partnership owned, directly and indirectly, 100% of each of BRSCO, BMI, BPI, BBL, BPM, BBS, and BGCS. As of December 31, 2025, the Management Company subsidiaries were managing properties containing an aggregate of approximately 20.0 million net rentable square feet, of which approximately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12.7 million net rentable square feet related to Properties owned by the Company and approximately 7.3 million net rentable square feet related to properties owned by the unconsolidated real estate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consolidates variable interest entities (“VIEs”) in which it is considered to be the primary beneficiary. VIEs are entities in which the equity investors do not have sufficient equity at risk to finance their endeavors without additional financial support or that the holders of the equity investment at risk do not have a controlling financial interest. The primary beneficiary is defined by the entity having both of the following characteristics: (i) the power to direct those matters that most significantly impact the activities of the VIE and (ii) the obligation to absorb losses or the right to receive benefits of the VIE that could potentially be significant to the VIE. For entities that the Company has the obligations to fund losses, its maximum exposure to loss is not limited to the carrying amount of its investments.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continuously assesses its determination of the primary beneficiary for each entity and assesses reconsideration events that may cause a change in the original determinations.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included in its consolidated balance sheets consolidated VIEs having total assets of $36.8 million and $37.2 million, respectively, and total liabilities of $19.7 million and $20.3 million, respectively.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an entity is not deemed to be a VIE, the Company consolidates entities for which it has significant decision making control over the entity’s operations. The Company’s judgment with respect to its level of influence or control of an entity involves consideration of various factors including the form of the Company’s ownership interest, its representation in the entity’s governance, the size of its investment (including loans), estimates of future cash flows, its ability to participate in policy making decisions and the rights of the other investors to participate in the decision making process and to replace the Company as manager and/or liquidate the venture, if applicable. The Company’s assessment of its influence or control over an entity affects the presentation of these investments in the Company’s consolidated financial statements. In addition to evaluating control rights, the Company consolidates entities in which the outside partner has no substantive kick-out rights to remove the Company as managing member. The portion of the consolidated entities that are not owned by the Company is presented as noncontrolling interest as of and during the periods consolidated. All intercompany transactions have been eliminated in consolidation.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estimates and assumptions include, but are not limited to, the amount and timing of development/redevelopment costs and of Company obligations for such costs, including costs incurred through unconsolidated real estate ventures. The estimates and assumptions for development/redevelopment cost are highly judgmental, cover significant future time horizons and are sensitive to cost escalations, sales price escalations and timing and pricing of leasing activity, all of which may be affected by expectations about future market or economic conditions. Actual results could differ from these and other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 of Prior Year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reported results of operations. An adjustment has been made to the Consolidated Balance Sheet to reclassify the Prepaid Ground Lease, net, for fiscal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Properties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properties are carried at historical cost less accumulated depreciation and impairment losses. The value of operating properties reflects their purchase price or development cost. Acquisition costs related to business combinations are expensed as incurred, whereas the costs related to asset acquisitions are capitalized as incurred. Costs incurred for the renovation and betterment of an operating property are capitalized to the Company’s investment in that property. Ordinary repairs and maintenance are expensed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Price Allocation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acquisitions of real estate or in-substance real estate that are accounted for as business combinations, we recognize the assets acquired (including the intangible value of acquired above- or below-market leases, acquired in-place leases and tenant relationship values), liabilities assumed, noncontrolling interests, and previously existing ownership interests at fair value as of the acquisition date. Any excess (deficit) of the consideration transferred relative to the fair value of the net assets acquired is accounted for as goodwill (bargain purchase gain). Acquisition costs related to business combinations are expensed as incurred.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of real estate and in-substance real estate that do not meet the definition of a business are accounted for as asset acquisitions. The Company generally expects that acquisitions of real estate or in-substance real estate will not meet the definition of business and therefore are accounted for as asset acquisitions, unless specifically noted otherwise. The accounting model for asset acquisitions is similar to the accounting model for business combinations except that the acquisition consideration (including acquisition costs) is allocated to the individual assets acquired and liabilities assumed on a relative fair value basis. As a result, asset acquisitions do not result in recognition of goodwill or a bargain purchase gain. Additionally, because the accounting model for asset acquisitions is a cost accumulation model, preexisting interests in the acquired assets, if any, are not remeasured to fair value but continue to be accounted for at their historical cost. Direct acquisition costs are capitalized if an asset acquisition is probable. If we determine that an asset acquisition is no longer probable, no new costs are capitalized and all capitalized costs that are not recoverable are written off.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is allocated to the acquired assets and assumed liabilities, including land and buildings, as if vacant based on highest and best use for the acquired assets. The Company assesses and considers fair value of the operating properties based on estimated cash flow projections that utilize discount and/or capitalization rates that it deems appropriate, as well as available market information. Estimates of future cash flows are based on a number of factors including the historical operating results, known and anticipated trends, and market and economic conditions.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allocates the purchase price of properties considered to be business combinations and asset acquisitions to net tangible and identified intangible assets acquired based on fair values. Above-market and below-market in-place lease values for acquired properties are recorded based on the present value (using an interest rate which reflects the risks associated with the leases acquired) of the difference between (i) the contractual amounts to be paid pursuant to the in-place leases and (ii) the Company’s estimate of the fair market lease rates for the corresponding in-place leases, measured over a period equal to the remaining noncancellable term of the lease (including the below market fixed renewal periods that are considered probable, if applicable). Capitalized above-market lease values are amortized as a reduction of rental income over the remaining noncancellable terms of the respective leases. Capitalized below-market lease values are amortized as an increase to rental income over the remaining noncancellable terms of the respective leases, including any below market fixed-rate renewal option periods that are considered probable.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intangible assets also include in-place leases based on the Company’s evaluation of the specific characteristics of each tenant’s lease and the Company’s overall relationship with the respective tenant. The Company estimates the cost to execute leases with terms similar to the remaining lease terms of the in-place leases, including leasing commissions, legal and other related expenses. This intangible asset is amortized to expense over the remaining term of the respective leases and any fixed-rate bargain renewal periods. Factors considered by the Company in this analysis include an estimate of the carrying costs during the expected lease-up periods considering current market conditions and costs to execute similar leases. In estimating carrying costs, the Company includes real estate taxes, insurance, and other operating expenses, and estimates of lost rents at market rates during the expected lease-up periods, which primarily range from four to twelve months. The Company also considers information obtained about each property as a result of its pre-acquisition due diligence, marketing, and leasing activities in estimating the fair value of the tangible and intangible assets acquired. The Company also uses the information obtained as a result of its pre-acquisition due diligence as part of its consideration of the accounting standard governing asset retirement obligations and when necessary, will record a conditional asset retirement obligation as part of its purchase price. The Company also evaluates tenant relationships on a tenant-specific basis. On most of the Company’s acquisitions, this intangible has not been material and, as a result, no value has been assigned.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a tenant terminates its lease, the unamortized portion of each intangible, including in-place lease values and tenant relationship values, is charged to expense and market rate adjustments (above or below) are recorded to revenue.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and Amortization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costs of buildings and improvements are depreciated using the straight-line method based on the following useful lives: buildings and improvements (5 to 55 years) and tenant improvements (the shorter of (i) the life of the asset (1 to 16 years) or (ii) the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Construction-in-Progress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Project costs directly associated with the development or redevelopment and construction of a real estate project are capitalized as construction-in-progress. Construction-in-progress also includes costs related to ongoing tenant improvement projects. In addition, interest, real estate taxes, and other expenses that are directly associated with the Company’s development or redevelopment activities are capitalized beginning when activities necessary to ready the asset for its intended use are in progress and capital expenditures have been made and ending when the property is placed in service. Interest expense is capitalized using the Company’s weighted average interest rate. Internal direct costs are capitalized to projects in which qualifying expenditures are being incurred. See Note 3 “Real Estate Investments,” for more information related to the capitalization of project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Ground Leases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the lessee under long-term ground leases classified as operating leases. The Company makes significant assumptions and judgments when determining the discount rate for the lease to calculate the present value of the lease payments. As the rate implicit in the lease is not readily determinable, the Company estimates the incremental borrowing rate (“IBR”) that it would need to pay to borrow, on a collateralized basis, an amount equal to the lease payments in a similar economic environment, over a similar lease term. The Company utilizes a market-based approach to estimate the IBR for each individual lease. The base IBR is estimated utilizing observable mortgage and corporate bond rates, which are then adjusted to account for considerations related to the Company’s credit rating and the lease term to select an incremental borrowing rate for each lease.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 of use assets and lease liabilities are presented as “Right of use asset - operating leases, net” and “Lease liability - operating leases”, respectively, on the consolidated balance sheet as of December 31, 2025 and 2024, respectively. The lease liabilities and right of use assets are amortized on a straight-line basis over the lease term with the corresponding expense classified in “Property operating expenses” on the consolidated statements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recent CPI adjustment is used to determine the present value of the lease payments for an indexed lease and ultimately the right of use asset and corresponding lease liability. Rent payments for amounts in excess of this estimated growth rate will be expensed on a cash basis as incurred and are considered variable lease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Real Estate Investments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reviews its real estate investments for impairment following the end of each quarter for each of its real estate investments where events or changes in circumstances indicate that the carrying amounts may not be recoverable. The Company updates leasing and other assumptions regularly, paying particular attention to real estate investments where there is an event or change in circumstances that indicates an impairment in value. Additionally, the Company considers strategic decisions regarding the future development plans for real estate investment under development and other market factors. For real estate investments to be held and used, the Company analyzes recoverability based on the estimated undiscounted future cash flows expected to be generated from the operations and eventual disposition of the assets over, in most cases, a 10-year hold period. If there is significant possibility that the Company will dispose of assets earlier, it analyzes the recoverability using a probability weighted analysis of the undiscounted future cash flows expected to be generated from the operations and eventual disposition of each asset using various probable hold periods. The Company may also utilize a market valuation approach, comparing the subject property to recent comparable market transactions in a similar location. If the recoverability analysis indicates that the carrying value of the tested real estate investment is not recoverable, the real estate investment is written down to its fair value and an impairment is recognized in the amount of the excess of the carrying amount of the asset over its fair value. If and when the Company’s plans change, it revises its recoverability analysis to use cash flows expected from operations and eventual disposition of each asset using hold periods that are consistent with its revised plans.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Estimated future cash flows used in such analysis are based on the Company’s plans for the real estate investment and its views of market economic conditions. The estimates consider assumptions, including but not limited to market rental rates,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8"/>
          <w:szCs w:val="18"/>
          <w:color w:val="auto"/>
        </w:rPr>
        <w:t>capitalization rates, and recent sales data for comparable real estate investments. Future cash flows are discounted when determining fair value of an asset. Most of these assumptions are influenced by our direct experience with the real estate investments and their markets as well as market data obtained from real estate leasing and brokerage firms.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Land Held for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demand for build-to-suit properties declines and the ability to sell land held for development deteriorates, or other market factors indicate possible impairment in the recoverability of land held for development, the land held for development is reviewed for impairment by comparing its fair value to its carrying value. If the estimated sales value is less than the carrying value, the carrying value is written down to its estimated fair value. Estimated fair value is generally determined using a market valuation approach, comparing the subject property to recent comparable market transactions in a similar location; or using estimated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Held for Sale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reclassifies assets to held for sale when the transaction has been approved by its Board of Trustees, or by officers vested with authority to approve the transaction, and there are no known significant contingencies relating to the sale of the real estate investment within one year of the consideration date and the consummation of the transaction is otherwise considered probable. When a real estate investment is reclassified as held for sale, the Company stops depreciating the real estate investment and estimates the real estate investment’s fair value, net of selling costs. If the determination is made that the estimated fair value, net of selling costs, is less than the net carrying value of the real estate investment, an impairment is recognized, reducing the net carrying value of the real estate investment to estimated fair value less selling costs. For periods in which a real estate investment is classified as held for sale, the Company classifies the assets and liabilities, as applicable, of the real estate investment as held for sale on the consolidated balance sheet for such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are highly-liquid investments with original maturities of three months or less. The Company maintains cash equivalents in money market accounts with financial institutions in excess of insured limits, but believes this risk is mitigated by investing cash equivalents exclusively in or through major financial institutions. As such, available cash balances are appropriately reflected as cash and cash equivalents on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 and Escrows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and escrows primarily consists of security deposits held on behalf of our tenants, interest reserves, as well as capital improvement and real estate tax escrows required under certain loan agreements. Restricted cash also includes cash held by qualified intermediaries for possible investments in like-kind exchanges in accordance with Section 1031 of the Internal Revenue Code in connection with sales of the Company’s properties.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Accrued Rent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leases with tenants are accounted for as operating leases. Minimum lease payments under tenant leases are recognized on a straight-line basis over the term of the related lease. The cumulative difference between lease revenue recognized under the straight-line method and contractual lease payment terms are recorded as “Accrued rent receivable, net” on the consolidated balance sheets. Included in current tenant receivables are tenant reimbursements which are comprised of amounts recoverable from tenants for common area maintenance expenses and certain other recoverable expenses that are recognized as revenue in the period in which the related expenses are incurred.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Accrued rent receivables are carried net of the allowances for doubtful accounts. The allowance for doubtful accounts is an estimate based on the Company's experience of the probability of future events confirming a loss and represents the estimated probable losses. The allowance is generally calculated by assigning risk factors by industry which are primarily based on the Company's historical collection and charge-off experience adjusted for current market conditions, which requires management's judgment.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 in Unconsolidated Real Estate Ventures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equity method, investments in real estate ventures are recorded initially at cost and subsequently adjusted for equity in earnings, contributions, distributions, and impairments. The Company generally recognizes income and losses from the unconsolidated real estate ventures based on the venture's distribution priorities, which may be different from the Company's stated ownership percentage. For real estate ventures that are constructing assets to commence planned principal operations, the Company capitalizes interest expense to the extent that the capitalized interest is recoverable. In capitalizing interest expense, the Company uses its weighted average interest rate on its consolidated debt and its investment balance. Planned principal operations commence when the property is available to lease and at that point in time, the Company ceases capitalizing interest to its investment basis.</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At least quarterly, management assesses whether there are any other than temporary impairment indicators of the Company’s investments in unconsolidated real estate ventures. If any indicators of impairment are present, management calculates the fair value of the investment in the unconsolidated real estate venture. An investment is other than temporarily impaired only if the fair value of the investment, as estimated by management, is less than the carrying value and the decline is other than temporary. To the extent that an other than temporary impairment has occurred, an impairment charge is recorded in the amount of the excess of the carrying amount of the investment over the estimated fair value. Management is required to make significant judgments about the estimated fair value of the Company's investments to determine if an impairment exists. Fair value is generally determined through income valuation approaches, including discounted cash flows and direct capitalization models, sales comparison approach, or transactions with third parties.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When the Company acquires an interest in or contributes assets to an unconsolidated real estate venture project, the difference between the Company’s cost basis in the investment and the value of the unconsolidated real estate venture or asset contributed is amortized over the life of the related assets, intangibles, and liabilities and such adjustment is included in the Company’s share of equity in income of unconsolidated real estate ventures. For purposes of cash flow presentation, distributions from unconsolidated Real Estate Ventures are presented as part of operating activities when they are considered as a return on investments. Distributions in excess of the Company's share in the cumulative unconsolidated Real Estate Venture's earnings are considered as return of investments and are presented as part of investing activities in accordance with the accounting standard for cash flow presentation.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costs incurred in connection with property leasing are capitalized as deferred leasing costs. Deferred leasing costs consist primarily of third-party and internal leasing commissions that are amortized using the straight-line method over the term of the applicable lease, which generally ranges from 1 to 16 years. Management re-evaluates the remaining useful lives of leasing costs in conjunction with changes in the applicable lease term.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Receivable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notes receivable on its balance sheet at amortized cost, net of allowance for loan losses. Interest income is recognized over the term of the notes receivable and is calculated based on the contractual terms of each note agreement. At inception and on a quarterly basis, management evaluates notes receivable for the current estimate of expected credit losses over the contractual term using a probability-of-default method and reports in net income (as a credit loss expense) the amount necessary to adjust the allowance for credit losses to reflect management's current estimate. Management considers performance and/or value of the underlying collateral property as well as the financial and operating capability of the borrower/sponsor in its evaluation.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receivable are placed on nonaccrual status when management determines, after considering economic and business conditions and collection efforts, that the loans are impaired, or collection of interest is doubtful. Uncollectible interest previously accrued is recognized as bad debt expense. Interest income on nonaccrual loans is recognized only to the extent that cash payments are received.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Financing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in connection with debt financing are capitalized as a direct deduction from the carrying value of the debt, except for costs capitalized related to the Company’s unsecured credit facility, which are capitalized within the “Deferred costs, net” caption on the accompanying consolidated balance sheets. Deferred financing costs are charged to interest expense over the terms of the related debt agreements. Deferred financing costs consist primarily of loan fees which are amortized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8" w:name="page89"/>
    <w:bookmarkEnd w:id="8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 the related loan term on a basis that approximates the effective interest method. Deferred financing costs are accelerated, when debt is extinguished, as part of the “Interest expense-amortization of deferred financing costs” caption within the Company’s consolidated statements of operations. Original issue discounts are recognized as part of the gain or loss on extinguishment of debt, as appropriate.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revenue under leases with tenants occupying the Properties. Generally, leases with tenants are accounted for as operating leases. The operating leases have various expiration dates. As of December 31, 2025 and 2024, the Company did not have any leases classified as direct-financing or sales-type leases.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Fixed lease payments under tenant leases, determined to be collectible, are recognized on a straight-line basis over the term of the related lease. The cumulative difference between lease revenue recognized under the straight-line method and contractual lease payments are recorded as “Accrued rent receivable” on the consolidated balance sheets. Variable lease payments are recognized as lease revenue in the period in which changes occur in facts and circumstances on which the variable lease payments are based.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Topic 842 requires a binary approach to evaluating leases for collectability. Lessors are required to determine if it is probable that substantially all of the lease payments will be collected from the tenant over the lease term. Should the lessor determine that it is not probable that substantially all of the lease payments will be collected, the standard requires that the lessor write off any accrued rent receivable and begin recognizing lease payments on a cash basis.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 revenue is impacted by the Company’s determination of whether improvements to the property, whether made by the Company or by the tenant, are landlord assets. The determination of whether an improvement is a landlord asset requires judgment. In making this judgment, the Company’s primary consideration is whether an improvement would be utilizable by another tenant upon the then-existing tenant vacating the improved space. If the Company has funded an improvement that it determines not to be landlord assets, then it treats the cost of the improvement as a lease incentive. If the tenant has funded an improvement that the Company determines to be landlord assets, then the Company treats the costs of the improvement as deferred revenue and amortizes these costs into revenue over the lease term.</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leases, the Company also makes significant assumptions and judgments in determining the lease term, including assumptions when the lease provides the tenant with an early termination option or purchase option. The lease term impacts the period over which the Company determines and records lease payments and also impacts the period over which it amortizes lease-related costs. The Company considers all relevant factors that create an economic incentive for the lessee and uses judgment to determine if those factors, considered together, signify that the lessee is reasonably certain to exercise the option. For leases where a tenant executes a lease termination, termination fees are generally recognized over the modified term of the lease as rental income. Additionally, any deferred rents receivable are accelerated over the modified lease term.</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leases also typically provide for tenant reimbursement of a portion of common area maintenance expenses and other operating expenses to the extent that a tenant’s pro rata share of expenses exceeds a base year level set in the lease or to the extent that the tenant has a lease on a triple net basis. As the timing and pattern of revenue recognition is the same, rents and tenant reimbursements are treated as a combined lease component and included in the “Rents” line item within the Company's consolidated statements of operations.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lease payments include contractual rents under lease agreements with tenants recognized on a straight-line basis over the lease term, including amortization of lease incentives and above or below market rent intangibles, and parking income that is fixed under a long-term contract. Variable lease payments include reimbursements billed to tenants, termination fees, bad debt expense, and parking income that is not fixed under a long-term contract.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 of Sale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Point of sale revenue consists of parking, restaurant, and flexible stay revenue from the Company’s hotel operations. Point of sale service obligations are performed daily, and the customer obtains control of those services simultaneously as they are performed. Accordingly, point of sale revenue is recorded on an accrual basis as it is earned, coinciding with the services that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jc w:val="both"/>
        <w:spacing w:after="0" w:line="282" w:lineRule="auto"/>
        <w:rPr>
          <w:sz w:val="20"/>
          <w:szCs w:val="20"/>
          <w:color w:val="auto"/>
        </w:rPr>
      </w:pPr>
      <w:r>
        <w:rPr>
          <w:rFonts w:ascii="Times New Roman" w:cs="Times New Roman" w:eastAsia="Times New Roman" w:hAnsi="Times New Roman"/>
          <w:sz w:val="18"/>
          <w:szCs w:val="18"/>
          <w:color w:val="auto"/>
        </w:rPr>
        <w:t>are provided to the Company’s customers. Parking and flexible stay revenue is recognized within rents and restaurant income is recognized within other income on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 management fees, labor reimbursement, and leasing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property management services for its managed real estate ventures and third-party property owners of real estate and these services consist of: (i) leasing services, (ii) property inspections, (iii) repairs and maintenance monitoring, and (iv) financial and accounting oversight. For these services, the Company earns management fees monthly, which are based on a fixed percentage of each managed property’s financial results, and is reimbursed for the labor costs incurred by its property management employees as services are rendered to the property owners. The Company determined that control over the services is passed to its customers simultaneously as the service are performed. Accordingly, the Company recognizes management fee revenue as earned as the services are performed.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commissions are earned when the Company, as a broker for a third party property owner, executes a lease agreement with a tenant. Based on the terms of the Company’s lease commission contracts with the owner, the Company's performance obligation to the owner has been completed upon execution of each lease agreement. The Company’s lease commissions are earned based on a fixed percentage of rental income generated for each executed lease agreement and there is no variable income component.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fee revenue is earned through two different sources: (i) the Company performs development services for third parties as an agent and earns fixed development fees based on a percentage of construction costs incurred over the construction period, and (ii) the Company acts as a general contractor on behalf of one of its managed real estate ventures. The Company acts as the principal construction company for the real estate ventures and records gross revenue as it provides construction services based on the quantifiable construction outputs.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applying the cost based output method of revenue recognition, the Company uses the actual costs incurred relative to the total estimated costs to determine its progress towards contract completion and to calculate the corresponding gross revenue and gross profit to recognize. For any costs that do not contribute to satisfying the Company’s performance obligations, the Company excludes such costs from its output methods of revenue recognition as the amounts are not reflective of transferring control of the outputs to the customer. The use of estimates in this calculation involves significant judgment.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Development Cost Estimates for Contributions to Development Joint Ventures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land is contributed to a development joint venture, estimated common development costs include actual costs incurred and estimates of future common development costs benefiting the property sold. When land is sold, common development costs, if they cannot be specifically identified, are allocated to each sold parcel based upon its relative sales value. For purposes of allocating common development costs, estimates of future sales proceeds and common development costs are re-evaluated throughout the year, with adjustments being allocated prospectively to the remaining land parcels available for sale. The common development cost estimates for development joint ventures are highly judgmental as they are sensitive to cost escalation, sales price escalation and pace of absorption, which are subject to judgment and are affected by expectations about future market or economic conditions. Changes in the assumptions used to estimate future common development costs could result in a significant impact on the amounts recorded as net gain on disposition of real estate or net gain on sale of undepreciated real estate.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earned by the Company’s reportable segments (see Note 18 “Segment Information,” for further information) during the year ended December 31, 2025 (in thousands):</w:t>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480" w:type="dxa"/>
            <w:vAlign w:val="bottom"/>
          </w:tcPr>
          <w:p>
            <w:pPr>
              <w:spacing w:after="0"/>
              <w:rPr>
                <w:sz w:val="13"/>
                <w:szCs w:val="13"/>
                <w:color w:val="auto"/>
              </w:rPr>
            </w:pPr>
          </w:p>
        </w:tc>
        <w:tc>
          <w:tcPr>
            <w:tcW w:w="128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Philadelphia CBD</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color w:val="auto"/>
              </w:rPr>
              <w:t>Pennsylvania</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Austin, Texas</w:t>
            </w: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Corporate (a)</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Suburbs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rent</w:t>
            </w: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353,671</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rent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92,136</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revenue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445,807</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market rents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parking &amp; hotel flexible stay</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rents</w:t>
            </w: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126,328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457,504</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Third party management fees, labor</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and leasing</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484,454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includes intercompany eliminations necessary to reconcile to consolidated Company totals.</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earned by the Company’s reportable segments (see Note 18 “Segment Information,” for further information) during the year ended December 31, 2024 (in thousands):</w:t>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480" w:type="dxa"/>
            <w:vAlign w:val="bottom"/>
          </w:tcPr>
          <w:p>
            <w:pPr>
              <w:spacing w:after="0"/>
              <w:rPr>
                <w:sz w:val="13"/>
                <w:szCs w:val="13"/>
                <w:color w:val="auto"/>
              </w:rPr>
            </w:pPr>
          </w:p>
        </w:tc>
        <w:tc>
          <w:tcPr>
            <w:tcW w:w="128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Philadelphia CBD</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color w:val="auto"/>
              </w:rPr>
              <w:t>Pennsylvania</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Austin, Texas</w:t>
            </w: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Corporate (a)</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Suburbs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rent</w:t>
            </w: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rent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94,448</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revenue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458,287</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market rents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parking &amp; hotel flexible stay</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rents</w:t>
            </w: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469,242</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Third party management fees, labor</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and leasing</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505,517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includes intercompany eliminations necessary to reconcile to consolidated Company totals.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earned by the Company’s reportable segments (see Note 18 “Segment Information,” for further information) during the year ended December 31, 2023 (in thousands):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00" w:type="dxa"/>
            <w:vAlign w:val="bottom"/>
          </w:tcPr>
          <w:p>
            <w:pPr>
              <w:spacing w:after="0"/>
              <w:rPr>
                <w:sz w:val="12"/>
                <w:szCs w:val="12"/>
                <w:color w:val="auto"/>
              </w:rPr>
            </w:pP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Philadelphia CBD</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Austin, Texas</w:t>
            </w: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Corporate (a)</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Suburbs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rent</w:t>
            </w: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372,069</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rent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96,978</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revenue</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469,047</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market rents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parking &amp; hotel flexible stay</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rents</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223,537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479,849</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Third party management fees, labor</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and leasing</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514,651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includes intercompany eliminations necessary to reconcile to consolidated Company totals.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Parent Company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has elected to be treated as a REIT under Sections 856 through 860 of the Internal Revenue Code. In order to continue to qualify as a REIT, the Parent Company is required to, among other things, distribute at least 90% of its annual REIT taxable income to its shareholders and meet certain tests regarding the nature of its income and assets. As a REIT, the Parent Company is not subject to federal and state (in states that follow federal rules) income taxes with respect to the portion of its income that meets certain criteria and is distributed annually to its shareholders. Accordingly, a nominal provision for federal and state (as applicable) income taxes is included in the accompanying consolidated financial statements with respect to the operations of the Parent Company. The Parent Company intends to continue to operate in a manner that allows it to meet the requirements for taxation as a REIT. If the Parent Company fails to qualify as a REIT in any taxable year, it will be subject to federal and state (as applicable) income taxes and may not be able to qualify as a REIT for the four tax years following the year in which it first failed to qualify. The Parent Company is subject to certain local income taxes. Provision for federal income taxes is recorded in the income tax provision line item and state and local income taxes have been included in operating expenses in the Parent Company’s consolidated statements of operations.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basis of the Parent Company’s assets was $2.8 billion and $2.9 billion for the years ended December 31, 2025 and December 31,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Parent Company is subject to a 4% federal excise tax if sufficient taxable income is not distributed within prescribed time limits. The excise tax equals 4% of the annual amount, if any, by which the sum of (a) 85% of the Parent Company’s ordinary income and (b) 95% of the Parent Company’s net capital gain exceeds cash distributions and certain taxes paid by the Parent Company. No excise tax was incurred in 2025, 2024 or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Parent Company has elected to treat several of its subsidiaries as taxable REIT subsidiaries (each a “TRS”). A TRS is subject to federal, state and local income tax. In general, a TRS may perform non-customary services for tenants, hold assets that the Parent Company, as a REIT, cannot hold directly and generally may engage in any real estate or non-real estate related business. The Company’s taxable REIT subsidiaries did not have material tax provisions or deferred income tax items as of December 31, 2025 and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Partnership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the Operating Partnership is not subject to federal and state income taxes, and accordingly, no provision for income taxes has been made in the accompanying consolidated financial statements. The partners of the Operating Partnership are required to include their respective share of the Operating Partnership’s profits or losses in their respective tax</w:t>
      </w: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18"/>
          <w:szCs w:val="18"/>
          <w:color w:val="auto"/>
        </w:rPr>
        <w:t>returns. The Operating Partnership’s tax returns and the amount of allocable partnership profits and losses are subject to examination by federal and state taxing authorities. For any year beginning on or after January 1, 2018, the Operating Partnership can be assessed with federal income tax in the course of an audit by the IRS. Under the partnership audit rules included in the Bipartisan Budget Act of 2015, the Operating Partnership has the option to make a push-out election and allocate the partnership adjustments to all the former partners for the tax year under audit.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basis of the Operating Partnership’s assets was $2.8 billion and $2.9 billion for the years ended December 31, 2025 and December 31, 2024,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Partnership may elect to treat a subsidiary as a REIT under Sections 856 through 860 of the Internal Revenue Code, if applicable. Each subsidiary REIT would be required to meet the requirements for treatment as a REIT under Sections 856 through 860 of the Internal Revenue Code. If a subsidiary REIT fails to qualify as a REIT in any taxable year, that subsidiary REIT would be subject to federal and state income taxes and would not be able to qualify as a REIT for the four subsequent taxable years. Also, each subsidiary REIT would be subject to certain local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Partnership has elected to treat several of its subsidiaries as TRSs, which are subject to federal, state and local income tax.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shareholders, as adjusted for unallocated earnings, if any, of certain securities, by the weighted average number of common shares outstanding during the year. Diluted EPS reflects the potential dilution that could occur from common shares issuable in connection with awards under share-based compensation plans, including upon the exercise of stock options, and conversion of the noncontrolling interests in the Operating Partnership. Anti-dilutive shares are excluded from the calculation.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Unit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unit is computed by dividing net income available to common unitholders, as adjusted for unallocated earnings, if any, of certain securities issued by the Operating Partnership, by the weighted average number of common unit equivalents outstanding during the year. Diluted earnings per unit reflects the potential dilution that could occur from units issuable in connection with awards under share-based compensation plans, including upon the exercise of stock options. Anti-dilutive units are excluded from the calculation.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Share-Based Compensation Plans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Parent Company maintains a shareholder-approved equity-incentive plan known as the 2023 Long-Term Incentive Plan, as amended (the "2023 Plan"), which replaced the Parent Company's Amended and Restated 1997 Long-Term Incentive Plan (the “1997 Plan” and collectively with the 2023 Plan, the Incentive Plans"). The Incentive Plans are administered by the Compensation Committee of the Parent Company’s Board of Trustees (the "Compensation Committee"). Under the 2023 Plan, the Compensation Committee is authorized to award equity and equity-based awards, including incentive stock options, non-qualified stock options, restricted share units and performance-based restricted share units (and previously made such awards under the 1997 Plan). The Company's share-based employee compensation plan is described more fully in Note 14 “Share-Based Compensation, 401(k) Plan and Deferred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Comprehensive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is recorded in accordance with the provisions of the accounting standard for comprehensive income. The accounting standard establishes standards for reporting comprehensive income and its components in the financial statements. Comprehensive income includes the effective portions of changes in the fair value of derivatives.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for Derivative Instruments and Hedging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its derivative instruments and hedging activities in accordance with the accounting standard for derivative and hedging activities. The accounting standard requires the Company to measure every derivative instrument (including certain derivative instruments embedded in other contracts) at fair value and record them on the balance sheet as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either an asset or liability. See disclosures below related to the accounting standard for fair value measurements and disclosures.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derivatives designated as cash flow hedges, the effective portions of changes in the fair value of the derivative are reported in other comprehensive income while the ineffective portions are recognized in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actively manages its ratio of fixed-to-floating rate debt. To manage its fixed and floating rate debt in a cost-effective manner, the Company, from time to time, enters into interest rate swap agreements as cash flow hedges, under which it agrees to exchange various combinations of fixed and/or variable interest rates based on agreed upon notional amounts.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Measurements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its derivatives in accordance with the accounting standard for fair value measurements and disclosures. The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 Financial assets and liabilities recorded on the consolidated balance sheets are categorized based on the inputs to the valuation techniques as follows:</w:t>
      </w:r>
    </w:p>
    <w:p>
      <w:pPr>
        <w:spacing w:after="0" w:line="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Company has the ability to access;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in Level 1, which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which is typically based on an entity’s own assumptions, as there is little if any, related market activity or information.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recorded at fair value on a non-recurring basis include non-financial assets and liabilities measured at fair value in a purchase price allocation and the impairment. The fair values assigned to the Company's purchase price allocations primarily utilize Level 3 inputs. The fair value assigned to the long-lived assets and equity method investments for which there was impairment recorded utilize Level 3 inputs</w:t>
      </w:r>
      <w:r>
        <w:rPr>
          <w:rFonts w:ascii="Times New Roman" w:cs="Times New Roman" w:eastAsia="Times New Roman" w:hAnsi="Times New Roman"/>
          <w:sz w:val="18"/>
          <w:szCs w:val="18"/>
          <w:i w:val="1"/>
          <w:iCs w:val="1"/>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Prepaid Ground Lease,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has $51.4 million of prepaid operating ground leases on which seven wholly-owned real estate investments are constructed, which is capitalized as part of the “Prepaid Ground Lease, net” caption on the Company's consolidated balance sheets and is amortized on a straight-line basis over the life of the noncancellable prepaid ground leases as part of the “Property operating expenses” caption within the Company’s consolidated statements of operations. Certain of the Company’s prepaid operating ground leases contain extension options and the Company considered all relevant factors in determining if it was reasonably certain that it would exercise such extension options. The Company concluded that it was not reasonably certain that it would exercise the extension options and, therefore, has not included the extension period in the remaining lease terms. As these are prepaid operating ground leases, none are subject to rent increases. The Company’s prepaid operating ground leases have remaining lease terms ranging from 9.1 to 9.4 years with a weighted average remaining lease term of 87.8 years. For the years ended December 31, 2025 and 2024, the Company amortized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new standard is effective for fiscal years beginning after December 15, 2024. The Company evaluated the impact of the standard and concluded it did not have a material impact on the Company's consolidated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The standard will require entities to provide enhanced disclosures related to certain expense categories included 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captions. The ASU aims to increase transparency and provide investors with more detailed information about the nature of expenses reported on the face of the income statement. The new standard does not change the requirements for the presentation of expenses on the face of the income statement. Under this ASU, entities are required to disaggregate, in a tabular format, expense captions presented on the face of the income statement — excluding earnings or losses from equity method investments — if they include any of the following expense categories: purchases of inventory, employee compensation, depreciation, intangible asset amortization, and depreciation or depletion. For any remaining items within each relevant expense caption, entities must provide a qualitative description of the nature of those expenses. The new ASU is effective for annual reporting periods beginning after December 15, 2026 and interim reporting periods beginning after December 15, 2027. Early adoption is permitted. We are evaluating the impact that ASU 2024-03 may have on our Consolidated Financial Statements and footnotes.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3. REAL ESTATE INVESTMENTS</w:t>
            </w:r>
          </w:p>
        </w:tc>
        <w:tc>
          <w:tcPr>
            <w:tcW w:w="7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5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and  2024,</w:t>
            </w: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gross  carrying  value  of  the  operating  properties</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was  as  follows  (in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thousands):</w:t>
            </w:r>
          </w:p>
        </w:tc>
      </w:tr>
      <w:tr>
        <w:trPr>
          <w:trHeight w:val="257"/>
        </w:trPr>
        <w:tc>
          <w:tcPr>
            <w:tcW w:w="2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6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337,459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354,628</w:t>
            </w: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2,551,089</w:t>
            </w: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46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461,830</w:t>
            </w:r>
          </w:p>
        </w:tc>
      </w:tr>
      <w:tr>
        <w:trPr>
          <w:trHeight w:val="223"/>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6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3,753,780</w:t>
            </w:r>
          </w:p>
        </w:tc>
        <w:tc>
          <w:tcPr>
            <w:tcW w:w="1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3,367,547</w:t>
            </w:r>
          </w:p>
        </w:tc>
      </w:tr>
      <w:tr>
        <w:trPr>
          <w:trHeight w:val="21"/>
        </w:trPr>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Construction-in-Progress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Internal direct construction costs totaling $9.1 million in 2025, $11.0 million in 2024, and $8.9 million in 2023 and interest expense totaling $2.0 million in 2025, $3.2 million in 2024, and $5.2 million in 2023 were capitalized related to the development, redevelopment and construction of tenant improvements of certain properties and land holdings.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Company’s internal direct construction costs are comprised of capitalized compensation costs. The following table shows the amount of compensation costs (including bonuses and benefits) capitalized for the years presented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Redevelopment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8,857</w:t>
            </w: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Acquisitions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22, 2025, the Company completed the acquisition of its partner’s 34% economic ownership interest in the joint venture that owns 3025 JFK Boulevard (“3025 JFK”), located in Philadelphia, Pennsylvania for $70.5 million. The property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18"/>
          <w:szCs w:val="18"/>
          <w:color w:val="auto"/>
        </w:rPr>
        <w:t>is subject to existing mortgage indebtedness of approximately $178.0 million, see Note 8 “Debt Obligations” for further information. The acquisition resulted in the Company recording a loss upon consolidation of approximately $3.2 million, which is the difference between the sum of the book value of the Company's previously held interest and the fair value of consideration paid less the fair value of the ventures net assets acquired. The Company recorded the loss upon consolidation as other-than-temporary impairment, which is included within loss from unconsolidated joint ventures in the Consolidated Statement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17, 2025, the Company completed the acquisition of its partner’s 23% economic ownership interest in the joint venture that owns 3151 Market Street (“3151 Market”), located in Philadelphia, Pennsylvania for $65.7 million. The acquisition resulted in the Company recording a loss upon consolidation of approximately $0.9 million, which is the difference between the sum of the book value of the Company's previously held interest and the fair value of consideration paid less the fair value of the ventures net assets acquired. The Company recorded the loss upon consolidation as other-than-temporary impairment, which is included within loss from unconsolidated joint ventures in the Consolidated Statement of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relative fair value of the net assets the Company received at the date of each acquisition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483,321</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&amp; Equipment</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 intangibles</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Below-market ground lease intangibles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Above-market ground lease intangibles</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ground leases, net</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44,362</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annual amortization of the acquired in-place lease intangibles, the acquired below-market lease intangibles and the acquired above-market lease intangibles as of each acquisition date for each of the five succeeding fiscal years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Acquired In-Place Lease</w:t>
            </w: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3"/>
        </w:trPr>
        <w:tc>
          <w:tcPr>
            <w:tcW w:w="224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56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Acquired Above-Market Lease Intangibles Acquired Below-Market Lease Intangibles</w:t>
            </w:r>
          </w:p>
        </w:tc>
      </w:tr>
      <w:tr>
        <w:trPr>
          <w:trHeight w:val="223"/>
        </w:trPr>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Thereafter</w:t>
            </w:r>
          </w:p>
        </w:tc>
        <w:tc>
          <w:tcPr>
            <w:tcW w:w="1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5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48"/>
        </w:trPr>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useful life of the acquired in-place lease intangibles, the acquired above-market and acquired below-market lease intangibles as of each acquisition date (in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Acquired In-place Lease</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Above-Market Lease</w:t>
            </w:r>
          </w:p>
        </w:tc>
        <w:tc>
          <w:tcPr>
            <w:tcW w:w="358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Acquired Below-Market Lease Intangibles</w:t>
            </w: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useful life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did not acquire any properties from a third party.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2023 Acquisitions</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39"/>
        </w:trPr>
        <w:tc>
          <w:tcPr>
            <w:tcW w:w="130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Rentable Square</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35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Property/Portfolio Name</w:t>
            </w:r>
          </w:p>
        </w:tc>
        <w:tc>
          <w:tcPr>
            <w:tcW w:w="2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Date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Location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Property Type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Feet/Acres</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Purchase Price</w:t>
            </w:r>
          </w:p>
        </w:tc>
      </w:tr>
      <w:tr>
        <w:trPr>
          <w:trHeight w:val="223"/>
        </w:trPr>
        <w:tc>
          <w:tcPr>
            <w:tcW w:w="348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165 King of Prussia Road</w:t>
            </w:r>
          </w:p>
        </w:tc>
        <w:tc>
          <w:tcPr>
            <w:tcW w:w="10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October 27, 2023</w:t>
            </w:r>
          </w:p>
        </w:tc>
        <w:tc>
          <w:tcPr>
            <w:tcW w:w="12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Radnor, PA</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1.1 acres</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8,550</w:t>
            </w: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Dispositions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property dispositions during the years ended December 31, 2025, 2024 and 2023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Property/Portfolio Name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Disposition Date</w:t>
            </w:r>
          </w:p>
        </w:tc>
        <w:tc>
          <w:tcPr>
            <w:tcW w:w="18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Location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Property Type</w:t>
            </w:r>
          </w:p>
        </w:tc>
        <w:tc>
          <w:tcPr>
            <w:tcW w:w="1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Rentable Square</w:t>
            </w:r>
          </w:p>
        </w:tc>
        <w:tc>
          <w:tcPr>
            <w:tcW w:w="200" w:type="dxa"/>
            <w:vAlign w:val="bottom"/>
          </w:tcPr>
          <w:p>
            <w:pPr>
              <w:spacing w:after="0"/>
              <w:rPr>
                <w:sz w:val="13"/>
                <w:szCs w:val="13"/>
                <w:color w:val="auto"/>
              </w:rPr>
            </w:pP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Sales Price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Gain/(Loss) on</w:t>
            </w: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Feet/Acres</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Sale (a)</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Quarry Lake II (b)</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12, 2025</w:t>
            </w:r>
          </w:p>
        </w:tc>
        <w:tc>
          <w:tcPr>
            <w:tcW w:w="184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Austin, 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120,559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17,600</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 Barton Skyway (b)</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25, 2025</w:t>
            </w: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Austin, TX</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222,580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55,050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Alterra at West Creek</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6, 2025</w:t>
            </w:r>
          </w:p>
        </w:tc>
        <w:tc>
          <w:tcPr>
            <w:tcW w:w="18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Richmond, VA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Land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acres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4,636</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Plymouth Meeting Executive Center (c)(d)</w:t>
            </w: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September 26, 2024</w:t>
            </w:r>
          </w:p>
        </w:tc>
        <w:tc>
          <w:tcPr>
            <w:tcW w:w="184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Plymouth Meeting, PA</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Five Office</w:t>
            </w:r>
          </w:p>
        </w:tc>
        <w:tc>
          <w:tcPr>
            <w:tcW w:w="136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rPr>
              <w:t>521,288</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rPr>
              <w:t>65,500</w:t>
            </w:r>
          </w:p>
        </w:tc>
        <w:tc>
          <w:tcPr>
            <w:tcW w:w="26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Buildings</w:t>
            </w: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 US Avenue (d)(e)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30, 2024</w:t>
            </w:r>
          </w:p>
        </w:tc>
        <w:tc>
          <w:tcPr>
            <w:tcW w:w="184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Gibbsboro, NJ</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Land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acres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6,466</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One and Two Barton Skyway (d)</w:t>
            </w: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November 18, 2024</w:t>
            </w:r>
          </w:p>
        </w:tc>
        <w:tc>
          <w:tcPr>
            <w:tcW w:w="184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Austin, TX</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Two Office</w:t>
            </w:r>
          </w:p>
        </w:tc>
        <w:tc>
          <w:tcPr>
            <w:tcW w:w="136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rPr>
              <w:t>390,963</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rPr>
              <w:t>107,900</w:t>
            </w:r>
          </w:p>
        </w:tc>
        <w:tc>
          <w:tcPr>
            <w:tcW w:w="26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Buildings</w:t>
            </w: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Dabney Land Westwood</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 2024</w:t>
            </w:r>
          </w:p>
        </w:tc>
        <w:tc>
          <w:tcPr>
            <w:tcW w:w="18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Richmond, VA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Parking Lot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acres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8,500</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Dabney East</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27, 2023</w:t>
            </w:r>
          </w:p>
        </w:tc>
        <w:tc>
          <w:tcPr>
            <w:tcW w:w="1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Richmond, VA</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Land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acres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Byberry</w:t>
            </w:r>
          </w:p>
        </w:tc>
        <w:tc>
          <w:tcPr>
            <w:tcW w:w="1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December 7, 2023</w:t>
            </w:r>
          </w:p>
        </w:tc>
        <w:tc>
          <w:tcPr>
            <w:tcW w:w="1840" w:type="dxa"/>
            <w:vAlign w:val="bottom"/>
            <w:shd w:val="clear" w:color="auto" w:fill="CCEEFF"/>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Philadelphia, PA</w:t>
            </w:r>
          </w:p>
        </w:tc>
        <w:tc>
          <w:tcPr>
            <w:tcW w:w="12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Land Purchase</w:t>
            </w:r>
          </w:p>
        </w:tc>
        <w:tc>
          <w:tcPr>
            <w:tcW w:w="1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 acres</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9,641</w:t>
            </w:r>
          </w:p>
        </w:tc>
        <w:tc>
          <w:tcPr>
            <w:tcW w:w="2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3,960</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w:t>
            </w: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8521 Leesburg Pike (f)</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 2023</w:t>
            </w: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Vienna, VA</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150,897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11,000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N. Radnor Chester Road</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31, 2023</w:t>
            </w:r>
          </w:p>
        </w:tc>
        <w:tc>
          <w:tcPr>
            <w:tcW w:w="18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Radnor, PA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Retail</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14,200</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7,735</w:t>
            </w:r>
          </w:p>
        </w:tc>
        <w:tc>
          <w:tcPr>
            <w:tcW w:w="0" w:type="dxa"/>
            <w:vAlign w:val="bottom"/>
          </w:tcPr>
          <w:p>
            <w:pPr>
              <w:spacing w:after="0"/>
              <w:rPr>
                <w:sz w:val="1"/>
                <w:szCs w:val="1"/>
                <w:color w:val="auto"/>
              </w:rPr>
            </w:pPr>
          </w:p>
        </w:tc>
      </w:tr>
      <w:tr>
        <w:trPr>
          <w:trHeight w:val="188"/>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Barton Skyway (f)</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4, 2023</w:t>
            </w: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Austin, TX</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173,302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53,250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Gain/(Loss) on Sale is net of closing and other transaction related costs.</w:t>
      </w:r>
    </w:p>
    <w:p>
      <w:pPr>
        <w:spacing w:after="0" w:line="27"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provision for impairment of $29.3 million on the properties prior to the sales. The Company estimated the fair value of its impaired properties and the related impairment losses based upon purchase and sale agreements.</w:t>
      </w:r>
    </w:p>
    <w:p>
      <w:pPr>
        <w:ind w:left="340" w:hanging="332"/>
        <w:spacing w:after="0" w:line="259" w:lineRule="auto"/>
        <w:tabs>
          <w:tab w:leader="none" w:pos="33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provided the purchaser with $15.5 million in seller financing which is subordinate to a first mortgage. The seller financing is subject to mandatory redemption by no later than the tenth anniversary of the closing date of the sale and is classified within “Other Assets” on the consolidated balance sheet.</w:t>
      </w:r>
    </w:p>
    <w:p>
      <w:pPr>
        <w:ind w:left="34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provision for impairment of $21.1 million on the properties prior to the sales. The Company estimated the fair value of its impaired properties and the related impairment losses based upon purchase and sale agreements.</w:t>
      </w: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provided the purchaser with $4.4 million in seller financing, which is classified within “Other Asset” on the consolidated balance sheet.</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provision for impairment of $16.7 million on the properties prior to the sales.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Net gain on disposition of real estate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Piers at Penn's Landing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2025, the Company recognized a gain of $9.4 million in “Net gain on disposition real estate” on the consolidated statements of operations, from installment proceeds received from the buyer of a property, located in Philadelphia, Pennsylvania, that the Company sold in March 2017. In March 2017, the Company sold the property for a gross sales price of $21.4 million. At the settlement, the Company received a partial payment of $12.0 million and recognized a corresponding gain on sale of $6.5 million. The remainder of the payment of $9.4 million was deferred and was initially contingent upon termination or expiration of a lease at the property with an existing tenant. During the first quarter of 2025, the Company received an installment payment of $3.0 million from the buyer and recognized a corresponding gain. In the fourth quarter of 2025, the Company received the final payment of $6.4 million from the buyer and recognized a corresponding gain on sale.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gain on sale of undepreciated real estate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3151 Market Venture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the Company deconsolidated $7.8 million recorded in “Prepaid leasehold interests in land held for development, net” on the consolidated balance sheets. This deconsolidation reflects the Company’s contribution, in January 2023, of 200,000 square feet of buildable floor to area ratio (“FAR”) to the Company’s unconsolidated real estate venture, referred to in Note 4 below as the 3151 Market Street Venture, for use by this unconsolidated real estate venture in the development of 3151 Market Street. Upon contribution at fair market value, the Company recognized a gain, net of transaction costs, of $0.8 million in “Net gain on sale of undepreciated real estate” on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Held for Use Impairment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impairment losses totaling $34.1 on two properties in the Austin, Texas segment. These impairments are due to a change in our anticipated hold period for the assets as a result of the Company's sale consideration or possible residential conversion of the properties. The Company determined that the carrying values exceeded the Company's estimated fair values of the properties. The estimated fair values are considered Level 3 in accordance with ASC 820 and were determined by estimating discounted cash flows using significant unobservable inputs, which were the discount rate of 12.50% and residual capitalization rate of 9.50%.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impairment losses totaling $23.5 million on one property in the Other segment. The estimated fair value is considered Level 3 in accordance with ASC 820 and was based upon a purchase and sale agreement as of September 30, 2024 that was not completed as of December 31, 2024 due to the termination of the purchase and sale agreement.</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2023, the Company recorded aggregate impairment charges of $103.2 million on three properties within the Company’s Metropolitan Washington, D.C. area in the Company's Other segment. These impairments resulted from the shortened hold period assumptions for the assets as a result of the Company's plan to exit these markets as conditions permit and it was determined that the carrying value exceeded the Company's estimated fair value of the properties. The estimated fair value is considered Level 3 in accordance with ASC 820 and was determined by estimating discounted cash flows using significant unobservable inputs, which were the discount rate of 10.00% and residual capitalization rate of 8.50%.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impairment losses totaling $11.7 million on properties located in the Pennsylvania Suburbs segment. The estimated fair value is considered Level 3 in accordance with ASC 820 and was based upon an executed purchase and sale agreement as of September 30, 2023 that was not completed as of December 31, 2023 due to the termination of the purchase and sale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Held for Sale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2024 and 2023, the Company had no assets held for sale.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auto"/>
        </w:rPr>
        <w:t>4. INVESTMENT IN UNCONSOLIDATED REAL ESTATE VENTURES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held ownership interests in seven unconsolidated real estate ventures, with a net aggregate investment balance of $314.3 million. As of December 31, 2025, four of the real estate ventures owned properties (directly or through leasehold interests) that contained an aggregate of approximately 4.1 million net rentable square feet of office space; one of the real estate ventures directly owns one property with 341 rentable residential units; and two of the real estate ventures own 1.4 acres of land held for development.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its interests in the unconsolidated real estate ventures, which range, as of December 31, 2025, from 20% to 85%, using the equity method accounting. Certain of the unconsolidated real estate ventures are subject to specified priority allocations of distributable cash, including cash from operations and cash from capital events, such as sales of properties.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earned management fees from the unconsolidated real estate ventures of $3.4 million, $7.7 million and $8.1 million for the years ended December 31, 2025,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leasing commissions from the unconsolidated real estate ventures of $3.4 million, $2.3 million and $3.8 million for the years ended December 31, 2025,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outstanding accounts receivable balances from the unconsolidated real estate ventures of $0.5 million and $5.0 million as of December 31, 2025 and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reflected in the following tables (except for the Company’s share of equity in income) are based on the financial information of the individual unconsolidated real estate ventures. The Company records operating losses of a real estate venture in excess of its investment balance if the Company is liable for the obligations of the real estate venture or is otherwise committed to provide financial support to the real estate venture.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the unconsolidated real estate ventures as of December 31, 2025 and 2024, and the Company’s share of the unconsolidated real estate ventures’ income (loss) for the years ended December 31, 2025, 2024, and 2023 was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Ownership</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jc w:val="center"/>
              <w:ind w:right="200"/>
              <w:spacing w:after="0"/>
              <w:rPr>
                <w:sz w:val="20"/>
                <w:szCs w:val="20"/>
                <w:color w:val="auto"/>
              </w:rPr>
            </w:pPr>
            <w:r>
              <w:rPr>
                <w:rFonts w:ascii="Times New Roman" w:cs="Times New Roman" w:eastAsia="Times New Roman" w:hAnsi="Times New Roman"/>
                <w:sz w:val="13"/>
                <w:szCs w:val="13"/>
                <w:color w:val="auto"/>
                <w:w w:val="96"/>
              </w:rPr>
              <w:t>Company's unconsolidated real estate venture</w:t>
            </w:r>
          </w:p>
        </w:tc>
        <w:tc>
          <w:tcPr>
            <w:tcW w:w="100" w:type="dxa"/>
            <w:vAlign w:val="bottom"/>
          </w:tcPr>
          <w:p>
            <w:pPr>
              <w:spacing w:after="0"/>
              <w:rPr>
                <w:sz w:val="12"/>
                <w:szCs w:val="12"/>
                <w:color w:val="auto"/>
              </w:rPr>
            </w:pPr>
          </w:p>
        </w:tc>
        <w:tc>
          <w:tcPr>
            <w:tcW w:w="1600" w:type="dxa"/>
            <w:vAlign w:val="bottom"/>
            <w:gridSpan w:val="4"/>
          </w:tcPr>
          <w:p>
            <w:pPr>
              <w:jc w:val="right"/>
              <w:ind w:right="97"/>
              <w:spacing w:after="0"/>
              <w:rPr>
                <w:sz w:val="20"/>
                <w:szCs w:val="20"/>
                <w:color w:val="auto"/>
              </w:rPr>
            </w:pPr>
            <w:r>
              <w:rPr>
                <w:rFonts w:ascii="Times New Roman" w:cs="Times New Roman" w:eastAsia="Times New Roman" w:hAnsi="Times New Roman"/>
                <w:sz w:val="13"/>
                <w:szCs w:val="13"/>
                <w:color w:val="auto"/>
                <w:w w:val="98"/>
              </w:rPr>
              <w:t>Unconsolidated Real Estate</w:t>
            </w:r>
          </w:p>
        </w:tc>
      </w:tr>
      <w:tr>
        <w:trPr>
          <w:trHeight w:val="183"/>
        </w:trPr>
        <w:tc>
          <w:tcPr>
            <w:tcW w:w="396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Percentage</w:t>
            </w:r>
          </w:p>
        </w:tc>
        <w:tc>
          <w:tcPr>
            <w:tcW w:w="180" w:type="dxa"/>
            <w:vAlign w:val="bottom"/>
          </w:tcPr>
          <w:p>
            <w:pPr>
              <w:spacing w:after="0"/>
              <w:rPr>
                <w:sz w:val="15"/>
                <w:szCs w:val="15"/>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3"/>
                <w:szCs w:val="13"/>
                <w:color w:val="auto"/>
              </w:rPr>
              <w:t>Carrying 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color w:val="auto"/>
                <w:w w:val="95"/>
              </w:rPr>
              <w:t>Income (Loss)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57"/>
              <w:spacing w:after="0"/>
              <w:rPr>
                <w:sz w:val="20"/>
                <w:szCs w:val="20"/>
                <w:color w:val="auto"/>
              </w:rPr>
            </w:pPr>
            <w:r>
              <w:rPr>
                <w:rFonts w:ascii="Times New Roman" w:cs="Times New Roman" w:eastAsia="Times New Roman" w:hAnsi="Times New Roman"/>
                <w:sz w:val="13"/>
                <w:szCs w:val="13"/>
                <w:color w:val="auto"/>
                <w:w w:val="96"/>
              </w:rPr>
              <w:t>Venture Debt at 100%, gross</w:t>
            </w:r>
          </w:p>
        </w:tc>
      </w:tr>
      <w:tr>
        <w:trPr>
          <w:trHeight w:val="169"/>
        </w:trPr>
        <w:tc>
          <w:tcPr>
            <w:tcW w:w="3960" w:type="dxa"/>
            <w:vAlign w:val="bottom"/>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2024</w:t>
            </w:r>
          </w:p>
        </w:tc>
      </w:tr>
      <w:tr>
        <w:trPr>
          <w:trHeight w:val="154"/>
        </w:trPr>
        <w:tc>
          <w:tcPr>
            <w:tcW w:w="39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Office Properties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Commerce Square Venture</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85% (a)</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(12,081)</w:t>
            </w:r>
          </w:p>
        </w:tc>
        <w:tc>
          <w:tcPr>
            <w:tcW w:w="3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w:t>
            </w: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Mid-Atlantic Office Venture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40% (a)</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62,023</w:t>
            </w:r>
          </w:p>
        </w:tc>
      </w:tr>
      <w:tr>
        <w:trPr>
          <w:trHeight w:val="18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Herndon Innovation Center Metro Portfolio Venture, LLC</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(f)</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MAP Venture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(b)</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Cira Square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160,000</w:t>
            </w: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KB JV</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(e)</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4040 Wilson Venture (c)</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(d)</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One Uptown - Multifamily (c)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72,197</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 Properties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3025 JFK Venture (c)</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2"/>
              </w:rPr>
              <w:t>(g)</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173,754</w:t>
            </w: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JBG - 51 N Street (c)</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JBG - 1250 First Street Office (c)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3151 Market Street Venture (c)</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(h)</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One Uptown - Office (c)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69,047</w:t>
            </w:r>
          </w:p>
        </w:tc>
      </w:tr>
      <w:tr>
        <w:trPr>
          <w:trHeight w:val="163"/>
        </w:trPr>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314,326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570,455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(57,681)</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(191,585)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(77,915)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586,441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757,021</w:t>
            </w:r>
          </w:p>
        </w:tc>
      </w:tr>
      <w:tr>
        <w:trPr>
          <w:trHeight w:val="26"/>
        </w:trPr>
        <w:tc>
          <w:tcPr>
            <w:tcW w:w="3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line="261" w:lineRule="auto"/>
        <w:tabs>
          <w:tab w:leader="none" w:pos="337"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percentage represents the Company’s combined interest including preferred and common equity holdings. See “Commerce Square Venture” and “Mid-Atlantic Office JV” sections below for more information.</w:t>
      </w: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Liabilities” on the consolidated balance sheet.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entity is a VIE.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the Company sold its interest in the 4040 Wilson Venture. See “4040 Wilson Venture” section for more information on the disposal.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KB JV sold its entire 14 industrial/flex building portfolio out of the KB JV. See "KB JV" section for more information on the disposal.</w:t>
      </w:r>
    </w:p>
    <w:p>
      <w:pPr>
        <w:spacing w:after="0" w:line="27" w:lineRule="exact"/>
        <w:rPr>
          <w:rFonts w:ascii="Times New Roman" w:cs="Times New Roman" w:eastAsia="Times New Roman" w:hAnsi="Times New Roman"/>
          <w:sz w:val="14"/>
          <w:szCs w:val="14"/>
          <w:color w:val="auto"/>
        </w:rPr>
      </w:pPr>
    </w:p>
    <w:p>
      <w:pPr>
        <w:ind w:left="340" w:hanging="332"/>
        <w:spacing w:after="0" w:line="254" w:lineRule="auto"/>
        <w:tabs>
          <w:tab w:leader="none" w:pos="33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Company has no further investments in Herndon Innovation Center. See “Herndon Innovation Center Metro Portfolio Venture, LLC” section for more information on the divestiture.</w:t>
      </w:r>
    </w:p>
    <w:p>
      <w:pPr>
        <w:ind w:left="340" w:hanging="332"/>
        <w:spacing w:after="0" w:line="259"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22, 2025, the Company acquired all of its partner's preferred equity interest in the 3025 JFK Boulevard Venture. See “3025 JFK Venture” section for more information on the acquisition. The Company's unconsolidated real estate venture loss recorded for the year ended December 31, 2025 for the Venture is year-to-date prior to the acquisition.</w:t>
      </w:r>
    </w:p>
    <w:p>
      <w:pPr>
        <w:ind w:left="340" w:hanging="332"/>
        <w:spacing w:after="0" w:line="283"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17, 2025, the Company acquired all of its partner's preferred equity interest in the 3151 Market Street Venture. See “3151 Market Street Venture” section for more information on the acquisition. The Company's unconsolidated real estate venture loss recorded for the year ended December 31, 2025 for the Venture is year-to-date prior to the acquisition.</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financial position of the unconsolidated real estate ventures in which the Company held interests as of December 31, 2025 and December 31, 2024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December 31, 2025</w:t>
            </w:r>
          </w:p>
        </w:tc>
        <w:tc>
          <w:tcPr>
            <w:tcW w:w="420" w:type="dxa"/>
            <w:vAlign w:val="bottom"/>
          </w:tcPr>
          <w:p>
            <w:pPr>
              <w:spacing w:after="0"/>
              <w:rPr>
                <w:sz w:val="20"/>
                <w:szCs w:val="20"/>
                <w:color w:val="auto"/>
              </w:rPr>
            </w:pPr>
          </w:p>
        </w:tc>
        <w:tc>
          <w:tcPr>
            <w:tcW w:w="2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1,164,117</w:t>
            </w:r>
          </w:p>
        </w:tc>
        <w:tc>
          <w:tcPr>
            <w:tcW w:w="1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1,641,085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238,406</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4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583,062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752,325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t>
            </w:r>
          </w:p>
        </w:tc>
        <w:tc>
          <w:tcPr>
            <w:tcW w:w="4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675,194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1,019,365</w:t>
            </w:r>
          </w:p>
        </w:tc>
      </w:tr>
    </w:tbl>
    <w:p>
      <w:pPr>
        <w:spacing w:after="0" w:line="166" w:lineRule="exact"/>
        <w:rPr>
          <w:sz w:val="20"/>
          <w:szCs w:val="20"/>
          <w:color w:val="auto"/>
        </w:rPr>
      </w:pPr>
    </w:p>
    <w:p>
      <w:pPr>
        <w:jc w:val="both"/>
        <w:ind w:left="340" w:hanging="332"/>
        <w:spacing w:after="0" w:line="275" w:lineRule="auto"/>
        <w:tabs>
          <w:tab w:leader="none" w:pos="33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does not include the effect of the basis difference between the Company's historical cost basis and the basis recorded at the real estate venture level, which is typically amortized over the life of the related assets and liabilities. Basis differentials occur from the impairment of investments, purchases of third-party interests in existing real estate ventures and upon the transfer of assets that were previously owned by the Company into a real estate venture. In addition, certain acquisition, transaction and other costs may not be reflected in the net assets at the real estate venture level.</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results of operations of the unconsolidated real estate ventures in which the Company held interests during the twelve-month periods ended December 31, 2025, 2024 and 2023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 (b)</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 (b)</w:t>
            </w:r>
          </w:p>
        </w:tc>
        <w:tc>
          <w:tcPr>
            <w:tcW w:w="380" w:type="dxa"/>
            <w:vAlign w:val="bottom"/>
          </w:tcPr>
          <w:p>
            <w:pPr>
              <w:spacing w:after="0"/>
              <w:rPr>
                <w:sz w:val="19"/>
                <w:szCs w:val="19"/>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154,597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232,895</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(122,181)</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(78,909)</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(100,205)</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property disposition</w:t>
            </w: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(68,400)</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interest %</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share of net loss</w:t>
            </w:r>
          </w:p>
        </w:tc>
        <w:tc>
          <w:tcPr>
            <w:tcW w:w="1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6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Other-than-temporary impairment (a)</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(37,176)</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adjustments and other</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real estate ventures</w:t>
            </w:r>
          </w:p>
        </w:tc>
        <w:tc>
          <w:tcPr>
            <w:tcW w:w="15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(191,585)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(77,915)</w:t>
            </w:r>
          </w:p>
        </w:tc>
      </w:tr>
    </w:tbl>
    <w:p>
      <w:pPr>
        <w:spacing w:after="0" w:line="180" w:lineRule="exact"/>
        <w:rPr>
          <w:sz w:val="20"/>
          <w:szCs w:val="20"/>
          <w:color w:val="auto"/>
        </w:rPr>
      </w:pPr>
    </w:p>
    <w:p>
      <w:pPr>
        <w:ind w:left="340" w:hanging="332"/>
        <w:spacing w:after="0" w:line="271" w:lineRule="auto"/>
        <w:tabs>
          <w:tab w:leader="none" w:pos="33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other-than-temporary impairment on investment in unconsolidated joint venture due to a decline in fair value below the carrying value of our investments in the unconsolidated joint venture for the years ended December 31, 2025, 2024 and 2023.</w:t>
      </w:r>
    </w:p>
    <w:p>
      <w:pPr>
        <w:jc w:val="both"/>
        <w:ind w:left="340" w:hanging="332"/>
        <w:spacing w:after="0" w:line="262" w:lineRule="auto"/>
        <w:tabs>
          <w:tab w:leader="none" w:pos="33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amounts related to the Herndon Innovation Center Metro Portfolio Venture, LLC and the New MAP Venture as the Company discontinued applying the equity method of accounting. The Company discontinued applying the equity method of accounting on the Herndon Innovation Center Metro Portfolio Venture, LLC after March 31, 2024 and the New MAP Venture after June 30,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0" w:name="page101"/>
    <w:bookmarkEnd w:id="100"/>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aggregate principal payments of the unconsolidated real estate ventures recourse and non-recourse debt payable to third-parties are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155,344</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211,097</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586,441</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financing costs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original issue premium</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indebtedness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583,062</w:t>
            </w:r>
          </w:p>
        </w:tc>
      </w:tr>
      <w:tr>
        <w:trPr>
          <w:trHeight w:val="21"/>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One Uptown Ventures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December 1, 2021, the Company established the One Uptown Ventures, two unconsolidated real estate ventures, with affiliates of Canyon Partners Real Estate to develop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One Uptown,</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 $345.6 million mixed-use project in Austin, Texas. One Uptown has been designed as a 348,000 square feet of Class-A workspace and 15,000 square feet of street-level retail space (through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office</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joint venture) and 341 apartment residences and a public park (through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multifamily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joint venture) and a six-story parking garage to be shared by the two unconsolidated real estate ventures. At the time of formation of the ventures, the Company's partner in each venture agreed, subject to closing of the applicable construction loans, to fund approximately $64.5 million of the combined project costs in exchange for a 50% preferred equity interest in each of the two ventures, with the Company retaining a 50% common equity interest in each. Under the terms of each of the venture agreements, the venture partner had no obligation to fund any portion of the applicable project costs until the closing of the applicable construction loan. The absence of this obligation prevented the Company from meeting the sale recognition criteria of ASC 606 until the applicable closings of the construction loans. On July 29, 2022, the One Uptown Ventures closed on two separate construction loans. The office venture closed on a $121.7 million construction loan which bears interest at Secured Overnight Offering Rate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SOFR</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plus 3.00% and the multifamily venture closed on an $85.0 million construction loan, which bears interest at SOFR plus 2.45%, plus, in each case, a daily SOFR adjustment of 10 basis points. Both loans have original maturity dates in July 2026 with a one year option to extend. The Company has also provided a carry guarantee and limited payment guarantee up to 30% and 15% of the principal balances of the $121.7 million and $85 million construction loans, respectively. The Company subsequently recognized the formation of the ventures and deconsolidated the projects upon the closing of the loans.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each of the One Uptown Ventures is a VIE. As a result, the Company used the VIE model under the accounting standard for consolidation in order to determine whether to consolidate the One Uptown Ventures. Based upon each member's shared power over the activities of the One Uptown Ventures under the operating and related agreements, the One Uptown Ventures are accounted for under the equity method of accounting.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contributed $6.5 million to the One Uptown - Office Venture. The contribution was used to pay interest on the One Uptown - Office Venture construction loan and arose from higher than budgeted interest carry costs. The One Uptown - Office Venture was substantially complete in the first quarter of 2024 and placed into service in the first quarter of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contributed $1.7 million to the One Uptown - Multifamily Venture. The One Uptown - Multifamily Venture was substantially complete and placed into service in the third quarter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3151 Market Street Venture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14, 2022, the Company formed an unconsolidated real estate venture, with an unaffiliated third party, to develop a life science/office building containing approximately 417,000 rentable square feet under a long-term ground lease located at 3151 Market Street in Philadelphia, Pennsylvania. The estimated project cost is approximately $317 million, and the joint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venture partner has funded approximately $49.9 million of the project costs in exchange for a 35% preferred equity interest in the venture.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that the 3151 Market Street Venture was a VIE. As a result, the Company used the VIE model under the accounting standard for consolidation in order to determine whether to consolidate the 3151 Market Street Venture. Based upon each member's shared power over the activities of the 3151 Market Street Venture under the operating and related agreements, the 3151 Market Street Venture was accounted for under the equity method of accounting.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3151 Market Street Venture was substantially completed in the fourth quarter of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17, 2025, the Company acquired all of its partner's preferred equity interest in the 3151 Market Street Venture, located in Philadelphia, Pennsylvania for $65.7 million. As a result of the acquisition of the preferred equity interest, 3151 Market Street is a wholly owned asset that was consolidated in the fourth quarter of 2025. The acquisition resulted in the Company recording a loss upon consolidation as other-than-temporary impairment of approximately $0.9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Cira Square Venture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2022, the Company formed an unconsolidated real estate venture, Cira Square REIT, LLC (“Cira Square Venture”), for the purpose of acquiring Cira Square, an office property located at 2970 Market Street in Philadelphia, Pennsylvania containing 862,692 rentable square feet for a gross purchase price of $383.0 million. The Company owns a 20% equity interest in Cira Square Venture and provided an initial capital contribution of $28.6 million on the closing date.</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Upon its formation, the Cira Square Venture obtained a $257.7 million non-recourse mortgage loan to fund a portion of the costs to acquire Cira Square. This mortgage loan bore interest at 3.50% over one-month term SOFR per annum, and matured on April 1, 2024. On April 1, 2024, the Cira Square Venture received an extension of the maturity date to July 1, 2024. On May 6, 2024, the Cira Square Venture refinanced the loan through proceeds of a new $160.0 million non-recourse mortgage loan and a capital contribution by the Company and its partner in the aggregate amount of $96.9 million (of which the Company's share was $19.4 million). The new mortgage loan bears interest at 8.817% per annum and matures in June 2029.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4040 Wilson Venture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4040 Wilson LLC Venture (“4040 Wilson Venture”) consisted of one property containing an aggregate of 225,000 square feet of office/retail and 250 apartment units, located in Metropolitan Washington, D.C. The Company and its partner each owned a 50% interest in the 4040 Wilson Venture.</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quarter ended September 30, 2024, our partner elected to acquire our 50% ownership interest in the 4040 Wilson Venture based on an agreed upon property value of $190.5 million. As a result, the Company recognized an other than temporary impairment loss on its investment in this unconsolidated venture of $8.4 million. The Company estimated the fair value of its impaired investment based on the completed transaction.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24, 2024, we sold our 50% interest in the 4040 Wilson Venture for $95.3 million (based on the $190.5 million property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3025 JFK Venture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 2021, the Company contributed its investment in a 99-year prepaid leasehold interest in a one-acre land parcel held for development at 3025 JFK Boulevard in Philadelphia, Pennsylvania to the 3025 JFK Venture. The Company's initial investment in this unconsolidated real estate venture at February 2, 2021 was $34.8 million. The real estate venture was formed to develop a 428,000 square foot mixed-use building at property under the long-term ground lease. The estimated project cost is approximately $320.1 million, and the joint venture partner has funded approximately $45.2 million of the project costs in exchange for a 45% preferred equity interest in the venture.</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23, 2021, the 3025 JFK Venture closed on a $186.7 million construction loan, which bears interest at 3.50% plus LIBOR (subject to a LIBOR floor of 0.25%) per annum and matured in July 2025. During the twelve months ended December 31, 2024, the Company contributed an additional $17.5 million to the 3025 JFK Venture, and as a result, the Company's common equity ownership increased to 64%. Utilizing the proceeds from the contribution, the 3025 JFK Venture entered into an interest rate cap agreement to help mitigate the interest rate volatility associated with the variable interest rate on the 3025 JFK Venture's construction loan, which was scheduled to mature in July 2025 with a one year option to extend.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cap has an initial notional value of $148.0 million which has accreted up to $187.0 million following the projected draw schedule. The strike rate of the interest rate cap is 3.00% and the stated interest rate of the construction loan is SOFR + 3.6%. With the interest rate cap in-place, the maximum interest rate due by the 3025 JFK Venture is 6.60%.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of July 22, 2025, the 3025 JFK Venture exercised its one year extension option on the construction loan which now matures in July 2026.</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the 3025 JFK Venture was a VIE. As a result, the Company used the VIE model under the accounting standard for consolidation in order to determine whether to consolidate the 3025 JFK Venture. Based upon each member’s shared power over the activities of 3025 JFK Venture under the operating and related agreements, and the Company’s lack of control over the 3025 JFK Venture, the 3025 JFK Venture was accounted for under the equity method of accounting. The 3025 JFK Venture was substantially complete in the fourth quarter of 2023 and placed into service in the fourth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2025, the Company acquired all of its partner's preferred equity interest in the 3025 JFK Boulevard Venture ("3025 JFK"), located in Philadelphia, Pennsylvania for $70.5 million. As a result of the acquisition of the preferred equity interest, 3025 JFK is a wholly owned asset that was consolidated in our fourth quarter results from the date of acquisition, and the Company consolidated the existing $178.0 million secured construction loan that matures in July 2026. The acquisition resulted in the Company recording a loss upon consolidation as other-than-temporary impairment of approximately $3.2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Mid-Atlantic Office JV</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December 21, 2020, the Company contributed a portfolio of twelve properties containing an aggregate of 1,128,645 square feet to the Mid-Atlantic Office JV, for a gross sales price of $192.9 million. After the transaction, the Company owned approximately 25% of the equity interest in the Mid-Atlantic Office JV through a $20.0 million preferred equity holding and approximately 15% of the equity interest through a common equity interest (representing 20% of the total common equity), for a combined approximately 40% equity interest in the venture. On the closing date, Mid-Atlantic Office JV also obtained $147.4 million of third-party debt financing secured by the twelve properties within the venture, with an initial advance of $120.8 million. As of December 31, 2023, the Company's investment in the Mid-Atlantic Office JV was zero, and we discontinued applying the equity method of accounting on these assets because, at this time, we did not have any guarantees or other obligations to support this venture.</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9, 2024 as part of a loan restructuring for the Mid-Atlantic Office Venture which included forgiveness of $39.8 million of the venture's debt, the Company elected to fund $4.1 million to fund a portion of a lender pay down for the venture. The Company's contribution is an equity method investment in the Mid-Atlantic Office JV and the Company recorded the contribution to Investment in unconsolidated real estate ventures on the consolidated balance sheets. The Mid-Atlantic Office Venture has liquidation rights and priorities that are different from ownership percentages. As such, equity in earnings is determined using the hypothetical liquidation book value (“HLBV”) method. Income or loss is recorded based on changes in what would be received should the entity liquidate all of its assets (as valued in accordance with GAAP) and distribute the resulting proceeds based on the terms of the respective agreements. The HLBV method is a balance sheet focused approach commonly applied to equity investments where cash distribution percentages vary at different points in time and are not directly linked to an equity holder’s ownership percentage.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Commerce Square Venture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Commerce Square Venture consists of two entities that, together, own two office properties in Philadelphia, Pennsylvania. The properties were encumbered by existing mortgages that were set to expire on April 5, 2023 and that were, following extension, refinanced on June 2, 2023 through a $220.0 million secured loan that bears an all-in fixed interest rate of 7.79% and matures in June 2028.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refinancing, the Company contributed $46.5 million to the Commerce Square Venture in exchange for an additional 8% equity interest in the venture.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2024, the Company agreed to fund and subsequently funded in November 2024, an additional $23.0 million in common equity contribution to the Commerce Square Venture, the proceeds from which were used by the Commerce Square Venture to pay down the preferred equity position of the Company’s partner in the Commerce Square Venture, thereby increasing a portion of the Company’s ownership interest in the Commerce Square Venture to 84%. In connection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with the Company’s funding agreement, the Commerce Square Venture recorded impairment charges of $116.5 million during the quarter ended September 30, 2024 based on the excess of the carrying value of the properties over their estimated fair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contributed $7.5 million to the Commerce Square Venture increasing the Company's equity ownership from 84% to 85% at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Herndon Innovation Center Metro Portfolio Venture,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Herndon Innovation Center Metro Portfolio Venture, LLC (“Herndon Innovation Center”) consisted of eight properties containing an aggregate of 1,293,197 square feet. The Company and its partner owned 15% and 85% interests in the Herndon Innovation Center, respectively. The properties held by the venture were encumbered by a $233.4 million secured mortgage loan that matured on March 29, 2024 and was nonrecourse to the Company. During 2024, the Company, its partners, and the mortgage lender have transferred their interests in the Herndon Innovation Center through a deed in lieu over a portion of the assets and a seller assisted short sale over the remaining assets. As of December 31, 2024, the Company has no further investments in Herndon Innovation Center.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MAP Venture and New MAP Venture</w:t>
      </w:r>
    </w:p>
    <w:p>
      <w:pPr>
        <w:spacing w:after="0" w:line="2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June 28, 2024, the Company recapitalized one of its unconsolidated real estate ventures, referred to as the “Original MAP Venture,” in which the Company had a negative investment balance of $52.2 million as of March 31, 2024 and a 50% ownership interest. Through the recapitalization, the Original MAP Venture transferred, for $26.0 million, 14 of the 57 properties in which it held ground lease interests to a newly-formed real estate venture, referred to below as the “KB JV,” owned equally between the Company and the ground lessor of the land on which all of the 57 properties are situated. The Original MAP Venture used substantially all of the proceeds it received from the transfer of the 14 properties to pay down its non-recourse mortgage loan to $154.6 million. Through the recapitalization of the MAP Venture, the Company redeemed the entire interest of its former partner in the MAP Venture for a nominal amount and reversed the Company’s negative investment balance to zero, resulting in a one-time, non-cash gain of $53.8 million. The non-recourse mortgage loan was amended as part of the pay-down, and, as amended, has a scheduled maturity date of March 1, 2027 (subject to mandatory pay downs as properties that remain owned by the New MAP Venture are sold), bears interest at SOFR plus 2.75% and provides the lender with a 95% entitlement to residual cash from operations and capital proceeds, if any, after the mortgage loan has been repaid and after all obligations to the ground lessor and other third parties have been satisfied. Pursuant to the amended loan, the Company has agreed to fund up to $12.0 million for tenant and capital improvements pursuant to leases that the Company, on behalf of the New MAP Venture, proposes, in its discretion, to enter into at the properties owned by the New MAP Venture, which amounts, when funded, will accrue interest at 8.0% per annum. As of June 30, 2024, the Company's investment in the New MAP Venture was zero, and the Company discontinued applying the equity method of accounting on the New MAP Venture. The Company has not guaranteed any of the obligations of the New MAP Venture or otherwise committed to funding any future losses.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JBG Ventures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JBG Ventures consists of 51 N 50 Patterson, Holdings, LLC Venture (“51 N Street”) and 1250 First Street Office, LLC Venture (“1250 First Street”), with the Company owning a 70.0% equity interest in each of the two ventures and JBG/DC Manager, LLC (“JBG”) owning a 30.0% equity interest in each of the two ventures. 51 N Street owns 0.9 acres of undeveloped land and 1250 First Street, owns 0.5 acres of undeveloped land.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JBG Ventures recorded held in use impairments in the properties of the venture based on the excess of the carrying value of the properties over their estimated fair value. Brandywine's share of the JBG Ventures impairment is approximately $22.2 million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KB JV</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28, 2024 as discussed above under “MAP Venture,” the Company formed a new joint venture, KB JV, LLC (the "KB JV") which acquired leasehold interests in 14 properties from the MAP Venture for $26.0 million. The 14 properties owned by the KB JV consist of an aggregate of 641,819 net rentable square feet and are located in Richmond, Virginia. The Company owns a 50% equity interest in the KB JV and the portfolio assets are unencumbered by third party debt. In connection with the formation of KB JV, KB JV loaned $13.0 million to the Company to fund the purchase of the 14 properties. The loan from KB JV is classified as “Unsecured term loan, net” on the consolidated balance sheet. Upon sale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the properties, Kawa, as fee owner, and KB JV as leasehold owner, agreed to cause both the leasehold and fee interests in the portfolio to be sold.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 2024 KB JV sold its entire 14 industrial/flex building portfolio totaling 643,000 square feet for $66.8 million, generating approximately $15.5 million of net proceeds to Brandywine for its 50% ownership interest after repayment of the $13.0 million loan from the KB JV. As of December 31, 2025, the KB JV has ceased operations, and the Company has no further investments in the KB JV.</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properties to tenants under operating leases with various expiration dates. Future contractual lease payments under operating 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9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345,355</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333,718</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309,126</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257,589</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217,902</w:t>
            </w:r>
          </w:p>
        </w:tc>
      </w:tr>
      <w:tr>
        <w:trPr>
          <w:trHeight w:val="234"/>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829,666</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is the lessee under six long-term ground leases classified as “operating leases” in the consolidated balance sheets. Certain of the Company’s ground leases contain extension options and the Company considered all relevant factors in determining if it was reasonably certain that it would exercise such extension options. The Company concluded that it was not reasonably certain that it would exercise the extension options and, therefore, has not included the extension period in the remaining lease terms. With the exception of certain ground leases that are subject to rent increases periodically based on the CPI index, all lease payments under the ground lease are fixed.</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operating lease cost recognized through “Property operating expenses” on the consolidated statements of operations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5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0" w:type="dxa"/>
            <w:vAlign w:val="bottom"/>
          </w:tcPr>
          <w:p>
            <w:pPr>
              <w:spacing w:after="0"/>
              <w:rPr>
                <w:sz w:val="1"/>
                <w:szCs w:val="1"/>
                <w:color w:val="auto"/>
              </w:rPr>
            </w:pPr>
          </w:p>
        </w:tc>
      </w:tr>
      <w:tr>
        <w:trPr>
          <w:trHeight w:val="23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payments by the Company under the terms of all noncancellable ground leases of land are expensed on a straight-line basis regardless of when payments are due. The Company’s ground leases, excluding prepaid ground leases, have remaining lease terms ranging from 4 to 59 years. Lease payments on noncancellable leases at December 31, 2025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 Rent</w:t>
            </w:r>
          </w:p>
        </w:tc>
      </w:tr>
      <w:tr>
        <w:trPr>
          <w:trHeight w:val="223"/>
        </w:trPr>
        <w:tc>
          <w:tcPr>
            <w:tcW w:w="9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9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102,426</w:t>
            </w:r>
          </w:p>
        </w:tc>
      </w:tr>
      <w:tr>
        <w:trPr>
          <w:trHeight w:val="223"/>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109,131</w:t>
            </w:r>
          </w:p>
        </w:tc>
      </w:tr>
      <w:tr>
        <w:trPr>
          <w:trHeight w:val="229"/>
        </w:trPr>
        <w:tc>
          <w:tcPr>
            <w:tcW w:w="9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85,411</w:t>
            </w:r>
          </w:p>
        </w:tc>
      </w:tr>
      <w:tr>
        <w:trPr>
          <w:trHeight w:val="248"/>
        </w:trPr>
        <w:tc>
          <w:tcPr>
            <w:tcW w:w="9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obtained ground tenancy rights related to three properties in Philadelphia, Pennsylvania, which provide for contingent rent participation by the lessor in certain capital transactions and net operating cash flows of the properties after certain returns are achieved by the Company. Such amounts, if any, will be reflected as contingent rent when incurred. The ground leases also provide for payment by the Company of certain operating costs relating to the land, primarily real estate taxes. The above schedule of future minimum rental payments does not include any contingent rent amounts or any reimbursed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DEFERRED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Company’s deferred costs were comprised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78"/>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4"/>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Deferred Costs, net</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78,963</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 Unsecured Credit Facility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5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69"/>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43"/>
        </w:trPr>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Deferred Costs, net</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82,559</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 Unsecured Credit Facility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4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capitalized internal direct leasing costs of $2.0 million, $2.0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auto"/>
        </w:rPr>
        <w:t>7. INTANGIBLE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the Company’s intangible assets/liabilities were comprised of the following (in thousands):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In-place lease value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Tenant relationship value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Above market leases acquired</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liabilities, net:</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Below market leases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In-place lease value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Tenant relationship value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Above market leases acquired</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liabilities, net:</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Below market leases acquired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4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243"/>
        </w:trPr>
        <w:tc>
          <w:tcPr>
            <w:tcW w:w="280" w:type="dxa"/>
            <w:vAlign w:val="bottom"/>
          </w:tcPr>
          <w:p>
            <w:pPr>
              <w:spacing w:after="0"/>
              <w:rPr>
                <w:sz w:val="21"/>
                <w:szCs w:val="21"/>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Intangible Assets, net</w:t>
            </w:r>
          </w:p>
        </w:tc>
      </w:tr>
      <w:tr>
        <w:trPr>
          <w:trHeight w:val="434"/>
        </w:trPr>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24,949</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Pr>
          <w:p>
            <w:pPr>
              <w:spacing w:after="0"/>
              <w:rPr>
                <w:sz w:val="24"/>
                <w:szCs w:val="24"/>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16,850</w:t>
            </w:r>
          </w:p>
        </w:tc>
      </w:tr>
      <w:tr>
        <w:trPr>
          <w:trHeight w:val="229"/>
        </w:trPr>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22,426</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69"/>
        </w:trPr>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6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Intangible Liabilities,</w:t>
            </w:r>
          </w:p>
        </w:tc>
      </w:tr>
      <w:tr>
        <w:trPr>
          <w:trHeight w:val="243"/>
        </w:trPr>
        <w:tc>
          <w:tcPr>
            <w:tcW w:w="280" w:type="dxa"/>
            <w:vAlign w:val="bottom"/>
          </w:tcPr>
          <w:p>
            <w:pPr>
              <w:spacing w:after="0"/>
              <w:rPr>
                <w:sz w:val="21"/>
                <w:szCs w:val="21"/>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420" w:type="dxa"/>
            <w:vAlign w:val="bottom"/>
          </w:tcPr>
          <w:p>
            <w:pPr>
              <w:spacing w:after="0"/>
              <w:rPr>
                <w:sz w:val="21"/>
                <w:szCs w:val="21"/>
                <w:color w:val="auto"/>
              </w:rPr>
            </w:pPr>
          </w:p>
        </w:tc>
        <w:tc>
          <w:tcPr>
            <w:tcW w:w="1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net</w:t>
            </w:r>
          </w:p>
        </w:tc>
      </w:tr>
      <w:tr>
        <w:trPr>
          <w:trHeight w:val="439"/>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3"/>
        </w:trPr>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December 31, 2024</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9"/>
        </w:trPr>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3"/>
        </w:trPr>
        <w:tc>
          <w:tcPr>
            <w:tcW w:w="280" w:type="dxa"/>
            <w:vAlign w:val="bottom"/>
          </w:tcPr>
          <w:p>
            <w:pPr>
              <w:spacing w:after="0"/>
              <w:rPr>
                <w:sz w:val="21"/>
                <w:szCs w:val="21"/>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Intangible Assets, net</w:t>
            </w:r>
          </w:p>
        </w:tc>
      </w:tr>
      <w:tr>
        <w:trPr>
          <w:trHeight w:val="434"/>
        </w:trPr>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00" w:type="dxa"/>
            <w:vAlign w:val="bottom"/>
          </w:tcPr>
          <w:p>
            <w:pPr>
              <w:spacing w:after="0"/>
              <w:rPr>
                <w:sz w:val="24"/>
                <w:szCs w:val="24"/>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r>
      <w:tr>
        <w:trPr>
          <w:trHeight w:val="230"/>
        </w:trPr>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69"/>
        </w:trPr>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6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Intangible Liabilities,</w:t>
            </w:r>
          </w:p>
        </w:tc>
      </w:tr>
      <w:tr>
        <w:trPr>
          <w:trHeight w:val="243"/>
        </w:trPr>
        <w:tc>
          <w:tcPr>
            <w:tcW w:w="280" w:type="dxa"/>
            <w:vAlign w:val="bottom"/>
          </w:tcPr>
          <w:p>
            <w:pPr>
              <w:spacing w:after="0"/>
              <w:rPr>
                <w:sz w:val="21"/>
                <w:szCs w:val="21"/>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420" w:type="dxa"/>
            <w:vAlign w:val="bottom"/>
          </w:tcPr>
          <w:p>
            <w:pPr>
              <w:spacing w:after="0"/>
              <w:rPr>
                <w:sz w:val="21"/>
                <w:szCs w:val="21"/>
                <w:color w:val="auto"/>
              </w:rPr>
            </w:pPr>
          </w:p>
        </w:tc>
        <w:tc>
          <w:tcPr>
            <w:tcW w:w="1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net</w:t>
            </w:r>
          </w:p>
        </w:tc>
      </w:tr>
      <w:tr>
        <w:trPr>
          <w:trHeight w:val="439"/>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-3471545</wp:posOffset>
            </wp:positionV>
            <wp:extent cx="711517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-3179445</wp:posOffset>
            </wp:positionV>
            <wp:extent cx="711517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-2271395</wp:posOffset>
            </wp:positionV>
            <wp:extent cx="711517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-1379220</wp:posOffset>
            </wp:positionV>
            <wp:extent cx="7115175"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-1087755</wp:posOffset>
            </wp:positionV>
            <wp:extent cx="7115175"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-179705</wp:posOffset>
            </wp:positionV>
            <wp:extent cx="711517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260" w:space="720"/>
            <w:col w:w="5260"/>
          </w:cols>
          <w:pgMar w:left="320" w:top="1089"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the Company had no acceleration of its amortization of intangible assets as a result of tenant move-outs prior to the end of the associated lease term. For the year ended December 31, 2023, the Company accelerated the amortization of intangible assets by approximately $0.1 million, as a result of tenant move-outs prior to the end of the associated lease term. For the years ended December 31, 2025 and 2024 the Company had no acceleration of its amortization of intangible liabilities as a result of tenant move-outs. For the year ended December 31, 2023 the Company accelerated the amortization of approximately $0.01 million of intangible liabilities as a result of tenant move-outs.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annual amortization for its intangible assets/liabilities, assuming no early lease terminations, was as follows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Liabilities</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auto"/>
        </w:rPr>
        <w:t>8. DEBT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Company’s consolidated debt obligations outstanding as of December 31, 2025 and 2024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Effective</w:t>
            </w:r>
          </w:p>
        </w:tc>
        <w:tc>
          <w:tcPr>
            <w:tcW w:w="360" w:type="dxa"/>
            <w:vAlign w:val="bottom"/>
          </w:tcPr>
          <w:p>
            <w:pPr>
              <w:spacing w:after="0"/>
              <w:rPr>
                <w:sz w:val="15"/>
                <w:szCs w:val="15"/>
                <w:color w:val="auto"/>
              </w:rPr>
            </w:pP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Maturity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2"/>
                <w:szCs w:val="2"/>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Date</w:t>
            </w: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Interest Rate</w:t>
            </w:r>
          </w:p>
        </w:tc>
        <w:tc>
          <w:tcPr>
            <w:tcW w:w="3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4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SECURED DEBT</w:t>
            </w: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$245.0M 5.88% Secured Term Loan due 2028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245,000</w:t>
            </w:r>
          </w:p>
        </w:tc>
        <w:tc>
          <w:tcPr>
            <w:tcW w:w="14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5.88%</w:t>
            </w:r>
          </w:p>
        </w:tc>
        <w:tc>
          <w:tcPr>
            <w:tcW w:w="3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February 2028</w:t>
            </w:r>
          </w:p>
        </w:tc>
        <w:tc>
          <w:tcPr>
            <w:tcW w:w="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$50.0M Construction Loan due 2026 (b)</w:t>
            </w: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32,734</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+ 2.50%</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2026</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3025 JFK Construction Loan (c)</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+3.60%</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2026</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3151 Market C-PACE Loan (d)</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57,324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7.31%</w:t>
            </w:r>
          </w:p>
        </w:tc>
        <w:tc>
          <w:tcPr>
            <w:tcW w:w="36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March 2054</w:t>
            </w:r>
          </w:p>
        </w:tc>
        <w:tc>
          <w:tcPr>
            <w:tcW w:w="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balance outstanding</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277,734</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Less: deferred financing costs</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Secured indebtedness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234,079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275,338</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UNSECURED DEBT</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$600 million Unsecured Credit Facility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+ 1.50%</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2027</w:t>
            </w: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Swapped to fixed</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+ 1.70%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2027</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$70.0 million Term Loan (g)</w:t>
            </w: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+ 2.00%</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2025</w:t>
            </w: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$450.0M 3.95% Guaranteed Notes due 2027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4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4.03%</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November 2027</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$350.0M 8.30% Guaranteed Notes due 2028</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4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8.48%</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2028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$350.0M 4.55% Guaranteed Notes due 2029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4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4.30%</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October 2029</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$550.0M 8.88% Guaranteed Notes due 2029</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4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8.52%</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2029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$300.0M 6.13% Guaranteed Notes due 2031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6.13%</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January 2031</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Indenture IA (Preferred Trust I)</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2035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Indenture IB (Preferred Trust I)</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2035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Indenture II (Preferred Trust II)</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July 2035</w:t>
            </w:r>
          </w:p>
        </w:tc>
        <w:tc>
          <w:tcPr>
            <w:tcW w:w="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balance outstanding</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2,328,610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1,948,610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Plus: original issue premium (discount), net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deferred financing costs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unsecured indebtedness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2,322,783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1,937,476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Obligations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2,556,862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2,212,814</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6, 2025, the Company repaid in full this secured loan.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23, 2025, the Company repaid the construction loan in full related to 155 King of Prussia Road in Radnor, Pennsylvania.</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22, 2025, the Company acquired all of its partner's preferred equity interest in the 3025 JFK Boulevard Venture and consolidated the existing $178 million secured construction loan that matures in July 2026. The interest rate is capped at 6.60% through the maturity of the loan.</w:t>
      </w:r>
    </w:p>
    <w:p>
      <w:pPr>
        <w:jc w:val="both"/>
        <w:ind w:left="340" w:hanging="332"/>
        <w:spacing w:after="0" w:line="254"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19, 2025, the company closed on a $50.5 million Commercial Property Assessed Clean Energy (“C-PACE”) financing on its development project at 3151 Market Street located in, Philadelphia, Pennsylvania. The loan bears interest at 7.31%, has an initial maturity date of March 31, 2054 and includes $5.4 million of prepaid interest. The prepaid interest is included within other assets in the Consolidated Balance Sheet.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includes a 10 basis point daily SOFR adjustment.</w:t>
      </w:r>
    </w:p>
    <w:p>
      <w:pPr>
        <w:spacing w:after="0" w:line="14"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23, 2022, the unsecured term loan of $250.0 million was swapped to a fixed rate. At December 31, 2025, the fixed rate for this instrument was 5.41% and matures on June 30, 2027. The effective date of the swap was January 31, 2023.</w:t>
      </w: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28, 2025, the Company repaid the term loan at the maturity date.</w:t>
      </w:r>
    </w:p>
    <w:p>
      <w:pPr>
        <w:spacing w:after="0" w:line="4"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2023, Moody’s downgraded our senior unsecured credit rating from Baa3 to Ba1. As a result of the downgrade, the interest rate on our 7.55% Guaranteed Notes due 2028 (the "2028 Notes") increased 25 basis points in September 2023 due to the coupon adjustment provisions within the 2028 Notes. During the first quarter of 2024, S&amp;P downgraded our senior unsecured credit rating from BBB- to BB+. As a result of the downgrade, the interest rate on the 2028 Notes increased 25 basis points to 8.05% in March 2024 due to the coupon adjustment provisions within the 2028 Notes. During the second quarter of 2024, Moody's downgraded our senior unsecured credit rating from Ba1 to Ba2. As a result of the downgrade, the interest rate on the 2028 Notes increased 25 basis points to 8.30% in April 2024 due to the coupon adjustment provisions within the 2028 Notes.</w:t>
      </w:r>
    </w:p>
    <w:p>
      <w:pPr>
        <w:spacing w:after="0" w:line="2" w:lineRule="exact"/>
        <w:rPr>
          <w:rFonts w:ascii="Times New Roman" w:cs="Times New Roman" w:eastAsia="Times New Roman" w:hAnsi="Times New Roman"/>
          <w:sz w:val="14"/>
          <w:szCs w:val="14"/>
          <w:color w:val="auto"/>
        </w:rPr>
      </w:pPr>
    </w:p>
    <w:p>
      <w:pPr>
        <w:ind w:left="340" w:hanging="332"/>
        <w:spacing w:after="0" w:line="278" w:lineRule="auto"/>
        <w:tabs>
          <w:tab w:leader="none" w:pos="32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16, 2024, the Trust Preferred I - Indenture IA was swapped to a fixed rate at 5.14% for the period from March 30, 2024 to December 30, 2026 and Trust Preferred I - Indenture IB and Trust Preferred II - Indenture II were swapped to a fixed rate at 5.24% for the period from January 30, 2024 to January 30, 2027.</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Parent Company unconditionally guarantees the unsecured debt obligations of the Operating Partnership (or is a co-borrower with the Operating Partnership) but does not by itself incur unsecured indebtedness. The Parent Company has no material assets other than its investment in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u w:val="single" w:color="auto"/>
          <w:color w:val="auto"/>
        </w:rPr>
        <w:t>Guaranteed Notes due 2029</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12, 2024, the Company completed an underwritten offering of $400.0 million aggregate principal amount of its 8.875% Guaranteed Notes due 2029 (the “2029 Notes”). The 2029 Notes were priced at approximately 99.51% of their face amount. The Company received approximately $391.8 million of net proceeds after the deduction for underwriting discounts and offering expenses.</w:t>
      </w:r>
    </w:p>
    <w:p>
      <w:pPr>
        <w:spacing w:after="0" w:line="1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15, 2024, the Company commenced a tender offer (the “Tender Offer”) for any and all of the outstanding $335.1 million principal amount of its 4.10% Guaranteed Notes due 2024 (the “2024 Notes”). The purchase price offered per $1,000 principal amount of 2024 Notes pursuant to the Tender Offer was determined by reference to the fixed spread for the 2024 Notes of 0 basis points plus the yield based on the bid-side price of the 4.250% U.S. Treasury due September 30, 2024. The Tender Offer expired on April 19, 2024. Upon completion of the Tender Offer, on April 23, 2024, the Company issued a redemption notice to redeem any 2024 Notes that remained outstanding after the Tender Offer. On June 7, 2024, the Company redeemed the $113.4 million principal amount of the 2024 Notes at the aggregate principal amount outstanding together with accrued and unpaid interest thereon to the redemption date.</w:t>
      </w:r>
    </w:p>
    <w:p>
      <w:pPr>
        <w:spacing w:after="0" w:line="3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27, 2025, the Operating Partnership completed an underwritten offering and sale of $150.0 million of its 8.875% Guaranteed Notes due 2029 (the "Additional 2029 Notes"). The Additional 2029 Notes form part of the same series as the Operating Partnership's outstanding 8.875% Guaranteed Notes due 2029 (the "Initial 2029 Notes"), and, following the issuance and sale of the Additional 2029 Notes on June 27, 2025, $550 million aggregate principal amount of the Operating Partnership's 8.875% Guaranteed Notes due 2029 are outstanding. The Additional 2029 Notes were priced at 106% of their face amount. The Additional 2029 Notes have been reflected net of premiums of $9.0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Guaranteed Notes due 2031</w:t>
      </w:r>
    </w:p>
    <w:p>
      <w:pPr>
        <w:spacing w:after="0" w:line="16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October 3, 2025, the Company completed an underwritten offering of $300.0 million aggregate principal amount of its 6.125% Guaranteed Notes due 2031 (the “2031 Notes”). The 2031 Notes were priced at 100% of their face amount. The net proceeds from the offering, after deducting underwriting discounts and estimated transaction expenses related to the offering, totaled approximately $296.3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Secured Facility due 2028</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19, 2023, seven indirect wholly-owned subsidiaries of the Company entered into a term loan agreement secured by seven operating properties in the aggregate principal amount of $245.0 million (the “Secured Facility”). The Secured Facility has a scheduled maturity date of February 6, 2028 and may be prepaid in full on or after March 6, 2025, subject to a prepayment premium, and may be prepaid in full on or after August 6, 2027 without any prepayment premium. The Secured Facility bears interest at 5.88% per year through the maturity date and is interest-only (payable monthly) through the maturity date. On October 6, 2025, the Company repaid this secured loan in full.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Unsecured Credit Facility and Unsecured Term Loan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2023, the Company entered into an unsecured one-year term loan agreement in the aggregate principal amount of $70.0 million (the “2023 Term Loan”). The 2023 Term Loan was scheduled to mature on February 28, 2024. In January 2024, the Company executed its option to extend for an additional twelve months to February 28, 2025 upon customary terms and conditions. The 2023 Term Loan bears interest at Daily Simple SOFR plus 1.90% with a 0.10% SOFR adjustment per year through the maturity date and is interest-only (payable monthly) through the maturity date. The Company repaid the loan on its maturity date of February 28, 2025.</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2022, the Company entered into the Second Amended and Restated Credit Agreement (as amended and restated, the “2022 Credit Agreement”). The 2022 Credit Agreement among other things: (i) maintains the total commitment under the line credit of $600.0 million (the “Revolving Credit Facility”) and provides an unsecured term loan in the initial amount of $250.0 million (the “Term Loan”) with a scheduled maturity date of June 30, 2027; (ii) extended the maturity date of the Revolving Credit Facility from July 15, 2022 to June 30, 2026, with two six-month extensions at the Company’s election subject to specified conditions and subject to payment of an extension fee; (iii) reduced the interest rate margins applicable to SOFR revolving loans; and (iv) provides for an additional interest rate option based on a floating SOFR rate. In connection with the amendments, the Company capitalized $4.7 million and $2.0 million in financing costs, related to the Revolving Credit Facility and the Term Loan, respectively. The financing costs will be amortized through the maturity dates for each of the Revolving Credit Facility and the Term Loan. Upon closing of the 2022 Credit Agreement, the Term Loan was funded in full and the proceeds thereof, together with cash on hand, were used to prepay in full the Company’s unsecured term loan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09" w:name="page110"/>
    <w:bookmarkEnd w:id="10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 Loan C”) in the principal amount of $250.0 million, together with accrued and unpaid interest thereon. Term Loan C was scheduled to mature on October 8, 2022.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2022 Credit Agreement, the Company may, subject to specified terms and conditions (including receipt of commitments from one or more lenders, whether or not currently parties to the 2022 Credit Agreement), elect to increase the amount of the Revolving Credit Facility and/or Term Loan or request one or more new pari passu tranches of unsecured term loans (each, an “Incremental Facility”), provided that the aggregate amount of all such increases is limited to $500.0 million. Up to $50.0 million of borrowing availability under the 2022 Credit Agreement is available for the issuance of letter of credits.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equal to either (i) the SOFR rate plus a margin of 72.5 to 140 basis points, or (ii) a base rate plus a margin of 0 to 40 basis points: and the Term Loan and borrowings under an Incremental Facility bear interest at a rate equal to either (i) the SOFR rate plus a margin of 80 to 160 basis points, or (ii) a base rate plus a margin of 0 to 60 basis points. The applicable margin will be determined based upon the unsecured senior debt rating of the Operating Partnership or the absence of such a rating. The Company also pays a quarterly facility fee on the total commitments under the Revolving Credit Facility.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2022 Credit Agreement require that the Company maintain customary financial and other covenants, including: (i) a fixed charge coverage ratio greater than or equal to 1.5 to 1.00; (ii) a leverage ratio less than or equal to 0.60 to 1.00, subject to specified exceptions; (iii) a ratio of unsecured indebtedness to unencumbered asset value less than or equal to 0.60 to 1.00, subject to specified exceptions; (iv) a ratio of secured indebtedness to total asset value less than or equal to 0.40 to 1.00; and (v) a ratio of unencumbered cash flow to interest expense on unsecured debt greater than 1.75 to 1.00. In addition, the 2022 Credit Agreement restricts payments of dividends and distributions on shares in excess of 95% of the Company's funds from operations (FFO) except to the extent necessary to enable the Company to continue to qualify as a REIT for federal income tax purposes.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2025, the Company and the Operating Partnership amended its Unsecured Credit Facility to, among other things, amend the restricted payments covenant to permit the Operating Partnership to pay dividends and make distributions attributable to any period of four consecutive fiscal quarters that ends (i) on any date that occurs after June 30, 2025 and on or prior to March 31, 2026, in an amount not to exceed, in the aggregate, the greater of (a) 100% of FFO attributable to such period or (b) the minimum amount necessary for the Company to maintain its REIT status and (ii) on April 1, 2026 or any date that occurs thereafter, in amount not to exceed, in the aggregate, the greater of (a) 95% of FFO attributable to such period or (ii) the minimum amount necessary for the Company to maintain its REIT status.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no outstanding borrowings under the Revolving Credit Facility as of December 31, 2025. During the twelve months ended December 31, 2025, the weighted-average interest rate on Revolving Credit Facility borrowings was 5.85% resulting in $2.1 million of interest expense. During the twelve months ended December 31, 2024, the weighted-average interest rate on Revolving Credit Facility borrowings was 6.74% resulting in $2.1 million of interest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Secured Construction Loan due 2026</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15, 2023, the Company entered into a construction loan agreement secured by the development project at 155 King of Prussia Road in Radnor, Pennsylvania in the aggregate principal amount of $50.0 million (the “Construction Loan”). The Construction Loan has a scheduled maturity date of August 16, 2026 with an option to prepay at any time without a fee, premium or penalty. The Construction Loan bears interest at SOFR plus 2.5%.</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Construction Loan, the Company has provided a completion guaranty, carry guaranty, and limited payment guarantee up to 20% of the loan commitment, as well as customary environmental indemnities and guaranty of customary exceptions to non-recourse provisions in the loan documents. On July 23, 2025, the Company repaid the construction loan in full.</w:t>
      </w:r>
    </w:p>
    <w:p>
      <w:pPr>
        <w:spacing w:after="0" w:line="17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as of December 31, 2025. Certain of the covenants restrict the Company’s ability to obtain alternative sources of capital.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As of December 31, 2025, the aggregate scheduled principal payments on the Company's debt obligations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435,934</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2,563,948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unamortized premiums/(discounts)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financing costs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indebtedness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2,556,862</w:t>
            </w:r>
          </w:p>
        </w:tc>
      </w:tr>
      <w:tr>
        <w:trPr>
          <w:trHeight w:val="20"/>
        </w:trPr>
        <w:tc>
          <w:tcPr>
            <w:tcW w:w="9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 FAIR VALUE OF 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the fair values disclosed below using available market information and discounted cash flow analyses as of December 31, 2025 and 2024, respectively. The discount rate used in calculating fair value is the sum of the current risk free rate and the risk premium on the date of measurement of the instruments or obligations. Considerable judgment is necessary to interpret market data and to develop the related estimates of fair value. Accordingly, the estimates presented are not necessarily indicative of the amounts that the Company could realize upon disposition. The use of different estimates and valuation methodologies may have a material effect on the fair value amounts shown. The Company believes that the carrying amounts reflected in the consolidated balance sheets at December 31, 2025 and 2024 approximate the fair values for cash and cash equivalents, accounts receivable, other assets and liabilities, accounts payable and accrued expenses because they are short-term in duration.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financial instruments for which the Company’s estimates of fair value differ from the carrying amounts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04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Carrying Amount (a)</w:t>
            </w: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97"/>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Carrying Amount (a)</w:t>
            </w: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97"/>
              </w:rPr>
              <w:t>Fair Value</w:t>
            </w:r>
          </w:p>
        </w:tc>
      </w:tr>
      <w:tr>
        <w:trPr>
          <w:trHeight w:val="20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notes payable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1,994,784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2,027,570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1,539,917</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1,537,210</w:t>
            </w: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rate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506,014</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501,541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430,293</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403,880</w:t>
            </w: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242,605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232,804</w:t>
            </w:r>
          </w:p>
        </w:tc>
      </w:tr>
    </w:tbl>
    <w:p>
      <w:pPr>
        <w:spacing w:after="0" w:line="58" w:lineRule="exact"/>
        <w:rPr>
          <w:sz w:val="20"/>
          <w:szCs w:val="20"/>
          <w:color w:val="auto"/>
        </w:rPr>
      </w:pPr>
    </w:p>
    <w:p>
      <w:pPr>
        <w:ind w:left="340" w:hanging="332"/>
        <w:spacing w:after="0" w:line="302" w:lineRule="auto"/>
        <w:tabs>
          <w:tab w:leader="none" w:pos="33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of $13.0 million and $9.5 million for unsecured notes payable, $0.6 million and $1.1 million for variable rate debt and $1.3 million and $2.4 million for secured fix rate debt as of December 31, 2025 and December 31, 2024, respectively.</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quoted market prices as of December 31, 2025 and December 31, 2024 to value the unsecured notes payable and, as such, categorized them as Level 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inputs utilized to determine the fair value of the Company’s variable and fixed rate debt are categorized as Level 3. The fair value of the variable and fixed rate debt was determined using a discounted cash flow model that considered borrowing rates available to the Company for loans with similar terms and characteristics.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Company’s Level 3 financial instruments for which fair value is disclosed, an increase in the discount rate used to determine fair value would result in a decrease to the fair value. Conversely, a decrease in the discount rate would result in an increase to the fair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about the fair value of financial instruments is based upon pertinent information available to management as of December 31, 2025 and December 31, 2024. Although management is not aware of any factors that would significantly affect the fair value amounts, such amounts were not comprehensively revalued for purposes of these financial statements since December 31, 2025. Current estimates of fair value may differ from the amounts presented 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auto"/>
        </w:rPr>
        <w:t>10. DERIVATIVE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Derivative Financial Instruments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use of derivative instruments is limited to the utilization of interest rate agreements or other instruments to manage interest rate risk exposures and not for speculative purposes. The principal objective of such arrangements is to minimize the risks and/or costs associated with the Company’s operating and financial structure, as well as to hedge specific transactions. The counterparties to these arrangements are major financial institutions with which the Company and its affiliates may also have other financial relationships. The Company is potentially exposed to credit loss in the event of non-performance by these counterparties. However, because of the high credit ratings of the counterparties, the Company does not anticipate that any of the counterparties will fail to meet these obligations as they come due. The Company does not hedge credit or property value market risks through derivative financial instruments.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formally assesses, both at the inception of a hedge and on an on-going basis, whether each derivative is highly-effective in offsetting changes in cash flows of the hedged item. If management determines that a derivative is not highly-effective as a hedge or if a derivative ceases to be a highly-effective hedge, the Company will discontinue hedge accounting prospectively for either the entire hedge or the portion of the hedge that is determined to be ineffective. The related ineffectiveness would be charged to the consolidated statement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comply with the provisions of the accounting standard for fair value measurements and disclosures,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terms and fair values of the Company’s derivative financial instruments as of December 31, 2025 and December 31, 2024. The notional amounts provide an indication of the extent of the Company’s involvement in these instruments at that time but do not represent exposure to credit, interest rate or market risks (dollar amounts presented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Hedge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Product</w:t>
            </w:r>
          </w:p>
        </w:tc>
        <w:tc>
          <w:tcPr>
            <w:tcW w:w="11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Hedge Type</w:t>
            </w:r>
          </w:p>
        </w:tc>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Designation</w:t>
            </w: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4"/>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Notional Amount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Strike</w:t>
            </w: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Trade Date</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Maturity Date</w:t>
            </w:r>
          </w:p>
        </w:tc>
        <w:tc>
          <w:tcPr>
            <w:tcW w:w="1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4"/>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86"/>
        </w:trPr>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12/31/2025</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12/31/2024</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12/31/2025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12/31/2024</w:t>
            </w:r>
          </w:p>
        </w:tc>
        <w:tc>
          <w:tcPr>
            <w:tcW w:w="0" w:type="dxa"/>
            <w:vAlign w:val="bottom"/>
          </w:tcPr>
          <w:p>
            <w:pPr>
              <w:spacing w:after="0"/>
              <w:rPr>
                <w:sz w:val="1"/>
                <w:szCs w:val="1"/>
                <w:color w:val="auto"/>
              </w:rPr>
            </w:pPr>
          </w:p>
        </w:tc>
      </w:tr>
      <w:tr>
        <w:trPr>
          <w:trHeight w:val="37"/>
        </w:trPr>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23,</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3.713 %</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30, 2027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37"/>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30,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3.629 %</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12, 2024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January 30,</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3.725 %</w:t>
            </w: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12,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37"/>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July 22, 2025</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July 22, 2026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3.713 %</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November 23,</w:t>
            </w: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30, 2027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980" w:type="dxa"/>
            <w:vAlign w:val="bottom"/>
            <w:gridSpan w:val="2"/>
            <w:vMerge w:val="continue"/>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30,</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3.629 %</w:t>
            </w: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12,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3.725 %</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12, 2024</w:t>
            </w:r>
          </w:p>
        </w:tc>
        <w:tc>
          <w:tcPr>
            <w:tcW w:w="1060" w:type="dxa"/>
            <w:vAlign w:val="bottom"/>
            <w:gridSpan w:val="2"/>
            <w:shd w:val="clear" w:color="auto" w:fill="CCEEFF"/>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January 30,</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980" w:type="dxa"/>
            <w:vAlign w:val="bottom"/>
            <w:gridSpan w:val="2"/>
            <w:vMerge w:val="continue"/>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506,624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328,610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unsecured variable rate debt.</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its derivative instruments at fair value and records them in “Other assets” and “Other liabilities” on the Company’s consolidated balance sheets.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the inputs utilized to determine the fair value of derivative instruments are classified in Level 2 of the fair value hierarchy.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Credit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Concentrations of credit risk arise for the Company when multiple tenants of the Company are engaged in similar business activities, or are located in the same geographic region, or have similar economic features that impact in a similar manner their ability to meet contractual obligations, including those to the Company. The Company regularly monitors its tenant base to assess potential concentrations of credit risk. Management believes the current credit risk portfolio is reasonably well diversified and does not contain an unusual concentration of credit risk. No tenant accounted for 10% or more of the Company’s rents during 2025,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LIMITED PARTNERS' NONCONTROLLING INTERESTS IN THE PARENT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in the Parent Company’s financial statements relate to redeemable common limited partnership units in the Operating Partnership held by parties other than the Parent Company and properties which are consolidated but not wholly owned by the Operating Partnership.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Partnership</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book value of the noncontrolling interests associated with the redeemable common limited partnership interests in the accompanying consolidated balance sheet of the Parent Company was $2.4 million and $3.1 million as of December 31, 2025 and December 31, 2024, respectively. Under the applicable accounting guidance, the redemption value of limited partnership units is carried at fair value. The Parent Company believes that the aggregate settlement value of these units (based on the number of units outstanding and the average closing price of the common shares during the last five business days of the quarter) was approximately $1.5 million and $2.9 million as of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BENEFICIARIES' EQUITY OF THE PARENT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Share (EPS)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number of shares and net income used to calculate basic and diluted earnings per share (in thousands, except share and per share amounts; results may not add due to rounding):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color w:val="auto"/>
              </w:rPr>
              <w:t>Year Ended December 31,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7"/>
                <w:szCs w:val="17"/>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7"/>
                <w:szCs w:val="17"/>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Diluted</w:t>
            </w: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(197,403)</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165"/>
        </w:trPr>
        <w:tc>
          <w:tcPr>
            <w:tcW w:w="3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Nonforfeitable dividends allocated to unvested</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129"/>
        </w:trPr>
        <w:tc>
          <w:tcPr>
            <w:tcW w:w="3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shareholders</w:t>
            </w:r>
          </w:p>
        </w:tc>
        <w:tc>
          <w:tcPr>
            <w:tcW w:w="20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580" w:type="dxa"/>
            <w:vAlign w:val="bottom"/>
            <w:vMerge w:val="continue"/>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(179,478)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(197,085)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(197,085)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(197,356)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(197,356)</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173,464,402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173,464,402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172,526,996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172,526,996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171,959,210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171,959,210</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173,464,402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173,464,402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172,526,996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172,526,996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171,959,210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171,959,210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securities/share-based compensation impact is calculated using the treasury stock method and relates to employee awards settled in shares of the Parent Company. The effect of these securities is anti-dilutive for periods that the Parent Company incurs a net loss from continuing operations available to common shareholders and therefore is excluded from the dilutive earnings per share calculation in such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Redeemable common limited partnership units totaling 515,595 at December 31, 2025, 2024 and 2023, respectively, were excluded from the diluted earnings per share computations because they are not dilutive.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Unvested restricted shares are considered participating securities which require the use of the two-class method for the computation of basic and diluted earnings per share. For the years ended December 31, 2025, 2024 and 2023, earnings representing nonforfeitable dividends as noted in the table above were allocated to the unvested restricted shares issued to the Company’s executives and other employees under the Company's shareholder-approved long-term incentive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and Preferred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10, 2025, the Parent Company declared a distribution of $0.08 per common share, totaling $14.1 million, which was paid on January 22, 2026 to shareholders of record as of January 7,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Parent Company maintains a common share repurchase program under which the Board of Trustees has authorized the Parent Company to repurchase common shares. On January 3, 2019, the Board of Trustees authorized the repurchase of up to $150.0 million common shares from and after January 3, 2019. During the years ended December 31, 2025 and 2024, no common shares were repurchased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20,000,000 preferred shares authorized, none were outstanding as of December 31, 2025 or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PARTNERS' EQUITY OF THE PARENT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Partnership Unit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number of units and net income used to calculate basic and diluted earnings per common partnership unit (in thousands, except unit and per unit amounts; results may not add due to rounding):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color w:val="auto"/>
              </w:rPr>
              <w:t>Year Ended December 31,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7"/>
                <w:szCs w:val="17"/>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Diluted</w:t>
            </w:r>
          </w:p>
        </w:tc>
        <w:tc>
          <w:tcPr>
            <w:tcW w:w="0" w:type="dxa"/>
            <w:vAlign w:val="bottom"/>
          </w:tcPr>
          <w:p>
            <w:pPr>
              <w:spacing w:after="0"/>
              <w:rPr>
                <w:sz w:val="1"/>
                <w:szCs w:val="1"/>
                <w:color w:val="auto"/>
              </w:rPr>
            </w:pPr>
          </w:p>
        </w:tc>
      </w:tr>
      <w:tr>
        <w:trPr>
          <w:trHeight w:val="19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(197,403)</w:t>
            </w: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attributable to noncontrolling</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Nonforfeitable dividends allocated to unvested</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unitholders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(180,015)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(197,948)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(197,948)</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units outstanding</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173,979,997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173,979,997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173,042,591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173,042,591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172,475,645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172,475,645</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weighted-average units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173,979,997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173,979,997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173,042,591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173,042,591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172,475,645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172,475,645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Common Partnership Unit: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Unvested restricted units are considered participating securities which require the use of the two-class method for the computation of basic and diluted earnings per unit. For the years ended December 31, 2025, 2024 and 2023, earnings representing nonforfeitable dividends were allocated to the unvested restricted units issued to the Parent Company’s executives and other employees under the Parent Company’s shareholder-approved long-term incentive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Partnership Units and Preferred Mirror Units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Operating Partnership issues partnership units to the Parent Company in exchange for the contribution of the net proceeds of any equity security issuance by the Parent Company. The number and terms of such partnership units correspond to the number and terms of the related equity securities issued by the Parent Company. In addition, the Operating Partnership may also issue separate classes of partnership units. Historically, the Operating Partnership has had the following types of partnership units outstanding: (i) Preferred Partnership Units which have been issued to parties other than the Parent Company; (ii) Preferred Mirror Partnership Units which have been issued to the Parent Company; and (iii) Common Partnership Units which include both interests held by the Parent Company and those held by other limited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Mirror Partnership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the proceeds received in corresponding offerings by the Parent Company of preferred shares of beneficial interest, the Operating Partnership has issued to the Parent Company a corresponding amount of Preferred Mirror Partnership Units with terms consistent with that of the preferred securities issued by the Parent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units were outstanding as of December 31, 2025 or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Partnership Units (Redeemable and General)</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Operating Partnership has two classes of Common Partnership Units outstanding as of December 31, 2025: (i) Class A Limited Partnership Interest which are held by both the Parent Company and outside third parties and (ii) General Partnership Interests which are held solely by the Parent Company (collectively, the Class A Limited Partnership Interest, and General Partnership Interests are referred to as “Common Partnership Units”). The holders of the Common Partnership Units are entitled to share in cash distributions from, and in profits and losses of, the Operating Partnership, in proportion to their respective percentage interests, subject to preferential distributions on the preferred mirror units and the preferred units.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18"/>
          <w:szCs w:val="18"/>
          <w:color w:val="auto"/>
        </w:rPr>
        <w:t>The Common Partnership Units held by the Parent Company (comprised of both General Partnership Units and Class A Limited Partnership Units) are presented as partner’s equity in the consolidated financial statements. Class A Limited Partnership Interest held by parties other than the Parent Company are redeemable at the option of the holder for a like number of common shares of the Parent Company, or cash, or a combination thereof, at the election of the Parent Company. Because the form of settlement of these redemption rights are not within the control of the Operating Partnership, these Common Partnership Units have been excluded from partner’s equity and are presented as redeemable limited partnership units measured at the potential cash redemption value as of the end of the periods presented based on the closing market price of the Parent Company’s common shares at December 31, 2025, 2024 and 2023, which was $2.92, $5.60 and $5.40, respectively. Class A Units of 515,595 as of December 31, 2025, 2024, and 2023, respectively, were outstanding and owned by outside limited partners of the Operating Partnership.</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10, 2025, the Operating Partnership declared a distribution of $0.08 per common partnership unit, totaling $14.1 million, which was paid on January 22, 2026 to unitholders of record as of January 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SHARE-BASED COMPENSATION, 401(K) PLAN AND DEFERRED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401(k)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a 401(k) defined contribution plan for its employees. Each employee may contribute up to 100% of annual compensation, subject to specific limitations under the Internal Revenue Code. At its discretion, the Company can make matching contributions equal to a percentage of the employee’s elective contribution and profit sharing contributions. The Company funds its 401(k) contributions annually and plan participants must be employed as of December 31 in order to receive employer contributions, except for employees eligible for qualifying retirement, as defined under the Internal Revenue Code. The Company contributions were $0.6 million, $0.9 million, and $0.7 million in 2025,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Share Unit Awards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2,083,526 restricted share rights and units (“Restricted Share Units”) were outstanding under the Company's long term equity incentive plan. These Restricted Share Units vest over one to three years from the initial grant dates. The remaining compensation expense to be recognized with respect to these awards at December 31, 2025 was $1.5 million and is expected to be recognized over a weighted average remaining vesting period of 0.98 years. During the years ended December 31, 2025, 2024, and 2023, the amortization related to outstanding Restricted Share Rights was $5.7 million (of which $0.7 million was capitalized), $6.5 million (of which $0.9 million was capitalized), and $4.7 million (of which $0.5 million was capitalized), respectively. Compensation expense related to outstanding Restricted Share Units is included in general and administrative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Share Units activity during the year-ended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43"/>
        </w:trPr>
        <w:tc>
          <w:tcPr>
            <w:tcW w:w="754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Grant Date Fair Value</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2,083,526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28, 2025, the Compensation Committee awarded to officers of the Company an aggregate of 995,552 Restricted Share Units, which vest over three years from the grant date. Each Restricted Share Right entitles the holder to one common share upon settlement. The Parent Company pays dividend equivalents on the Restricted Share Units prior to the settlement date. Vesting and/or settlement would accelerate if the recipient of the award were to die, become disabled or, in the case of certain of such Restricted Share Units, retire in a qualifying retirement prior to the vesting or settlement date. Qualifying retirement generally means the recipient’s voluntary termination of employment after reaching at least age 57 and accumulating at least 15 years of service with the Company. In addition, vesting would also accelerate if the Parent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jc w:val="both"/>
        <w:spacing w:after="0" w:line="282" w:lineRule="auto"/>
        <w:rPr>
          <w:sz w:val="20"/>
          <w:szCs w:val="20"/>
          <w:color w:val="auto"/>
        </w:rPr>
      </w:pPr>
      <w:r>
        <w:rPr>
          <w:rFonts w:ascii="Times New Roman" w:cs="Times New Roman" w:eastAsia="Times New Roman" w:hAnsi="Times New Roman"/>
          <w:sz w:val="18"/>
          <w:szCs w:val="18"/>
          <w:color w:val="auto"/>
        </w:rPr>
        <w:t>were to undergo a change of control and, on or before the first anniversary of the change of control, the recipient’s employment were to cease due to a termination without cause or resignation with good reason.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Restricted Share Units granted in 2025, 2024, 2023 and 2022 to certain senior executives include an “outperformance feature” whereby additional shares may be earned, up to 275% of the shares subject to the basic award, based on the Company’s achievement of specified operating metrics during a three-year performance period with an additional 366 days of service generally required to fully vest. In addition to the basic award, up to an aggregate of 2,170,708, 2,669,293, 925,642, and 406,179 shares may be awarded under the outperformance feature for the 2025, 2024, 2023, and 2022 awards, respectively, to those senior officers whose Restricted Share Units awards include the “outperformance feature.” As of December 31, 2025, the Company has recognized $0.4 million, $7.1 million, $4.5 million and $2.1 million of compensation expense related to the outperformance features for the 2025, 2024, 2023, and 2022 awards, respectively. The Company will continue to evaluate progression towards achievement of the performance metrics on a quarterly basis and recognize compensation expense for the outperformance feature of these awards should it be determined that achievement of these metrics is probable.</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accounting standard for share-based compensation, the Company amortizes share-based compensation costs through the qualifying retirement dates for those grantees who meet the conditions for qualifying retirement during the scheduled vesting period and whose award agreements provide for vesting upon a qualifying retirement or qualifying retirement eligibility.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on February 28, 2025, the Compensation Committee awarded non-officer employees an aggregate of 122,926 Restricted Share Units that generally vest in three equal annual installments. Vesting of these awards is subject to acceleration upon death, disability or termination without cause within one year following a change of control.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Vested Shares Issued to Trustees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21, 2025, the Trustees received an aggregate of 138,220 fully vested common shares as part of their routine annual compensation for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Performance Share Units Awards</w:t>
      </w:r>
    </w:p>
    <w:p>
      <w:pPr>
        <w:spacing w:after="0" w:line="16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Compensation Committee of the Parent Company’s Board of Trustees has granted performance based restricted share unit awards (referred to as Restricted Performance Share Units, or RPSUs) to officers of the Parent Company. The RPSUs are settled in common shares, with the number of common shares issuable in settlement varying between zero and 200%, with respect to the 2023 awards, and zero and 240%, with respect to the 2024 and 2025 awards, of the target amount based on the achievement of certain performance or market conditions. For 2023 awards, the number of shares issuable is determined based on the Company’s total shareholder return over specified measurement periods compared to total shareholder returns of comparative groups over the measurement periods (“Relative TSR”). For the 2024 and 2025 awards, the number of common shares issuable is determined based on the Company’s achievement of certain operating metrics during three one-year performance periods, subject to further adjustment based on Relative TSR for the three-year term of the award. The table below presents certain information as to unvested RPSU awards.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color w:val="auto"/>
              </w:rPr>
              <w:t>RPSU Grant Date</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(Amounts below in shares, unless otherwise noted)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2/16/2023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2/26/2024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2/28/2025</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1,375,855</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334,412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737,913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(57,702)</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Cancelled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(23,990)</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2,032,076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Measurement Period Commencement Date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1/1/2025</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End Date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1,003,236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Units on Grant Date (in thousands)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values each RPSU on its grant date using a Monte Carlo simulation. The fair values of each award are being amortized over the three-year performance period. If an award's service inception date precedes the grant date, we initially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jc w:val="both"/>
        <w:spacing w:after="0" w:line="266" w:lineRule="auto"/>
        <w:rPr>
          <w:sz w:val="20"/>
          <w:szCs w:val="20"/>
          <w:color w:val="auto"/>
        </w:rPr>
      </w:pPr>
      <w:r>
        <w:rPr>
          <w:rFonts w:ascii="Times New Roman" w:cs="Times New Roman" w:eastAsia="Times New Roman" w:hAnsi="Times New Roman"/>
          <w:sz w:val="18"/>
          <w:szCs w:val="18"/>
          <w:color w:val="auto"/>
        </w:rPr>
        <w:t>measure compensation expense for awards with performance conditions at fair value at the service inception date based on probability of payout, and we remeasure compensation expense at subsequent reporting dates until all of the award’s key terms and conditions are known and the grant date is established. We amortize awards with performance conditions using the graded expense method.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awards, the performance period will be abbreviated and the determination and delivery of earned shares will be accelerated in the event of a change in control or if the recipient of the award were to die, become disabled or retire in a qualifying retirement prior to the end of the otherwise applicable three-year performance period; provided that, in the case of qualifying retirement, the number of shares deliverable will be pro-rated based on the portion of the performance period actually worked before retirement.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target number of shares subject to 2024 RPSU awards was 1,251,803, of which 417,268 were deemed to have a grant date in 2024, and 403,501 are treated as granted in 2025. The remainder of the 2024 awards will have a grant date in 2026, when the performance conditions for those years are established by the Compensation Committee. The target number of shares subject to 2025 RPSU awards was 1,003,236, of which 334,412 were deemed to have a grant date in 2025. The remainder of the 2025 awards will have a grant date in 2026 or 2027. The determination and delivery of earned shares will</w:t>
      </w:r>
    </w:p>
    <w:p>
      <w:pPr>
        <w:spacing w:after="0" w:line="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be accelerated in the event of a change in control or the award recipient’s death before the end of the full three-year term of the award. If the award recipient’s service ceases due to his or her qualifying retirement or disability during the term of the award, the award will remain outstanding and be earned</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actual performance for the full term of the award, subject to pro-ration based on the portion of the term actually worked. Dividend equivalents will be credited as additional RPSUs during the term of the awards, subject to the same terms and conditions as the original RPSUs.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amortization of the 2025, 2024 and 2023 RPSU awards of $5.6 million, of which $0.3 million was capitalized consistent with the Company’s policies for capitalizing eligible portions of employee compensation. For the year ended December 31, 2024, amortization for the 2024, 2023 and 2022 RPSU awards was $8.0 million, of which $1.4 million was capitalized consistent with the Company’s policies for capitalizing eligible portions of employee compensation. For the year ended December 31, 2023, amortization for the 2023, 2022, and 2021 RPSU awards was $6.9 million, of which $0.9 million was capitalized consistent with the Company’s policies for capitalizing eligible portions of employee compensation.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compensation expense to be recognized with respect to the non-vested RPSUs at December 31, 2025 was approximately $3.0 million and is expected to be recognized over a weighted average remaining vesting period of 1.1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364,588 common shares on February 1, 2025 in settlement of RPSUs that had been awarded on March 5, 2022 (with a three-year measurement period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Share Purchase Plan</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Parent Company’s shareholders approved the 2007 Non-Qualified Employee Share Purchase Plan (the “ESPP”), which is intended to provide eligible employees with a convenient means to purchase common shares of the Parent Company through payroll deductions and voluntary cash purchases at an amount equal to 85% of the average closing price per share for a specified period. Under the plan document, the maximum participant contribution for the 2025 plan year is limited to the lesser of 20% of compensation or $50,000. The number of shares reserved for issuance under the ESPP is 1.25 million. Shares issued under the ESPP may be newly issued or reacquired (including shares purchased on the open market) and, to date, all ESPP issuances have been of shares purchased by the Parent Company on the open market. Employees made purchases under the ESPP of $0.4 million during each of the years ended December 31, 2025, 2024 and 2023. The Company recognized $0.1 million of compensation expense related to the ESPP during each of the years ended December 31, 2025, 2024, and 2023. Compensation expense represents the 15% discount on the purchase price. The Board of Trustees of the Parent Company may terminate the ESPP at its sole discretion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2005, the Parent Company adopted a Deferred Compensation Plan (the “Plan”) that allows trustees and certain key employees to defer compensation voluntarily. Compensation expense is recorded for the deferred compensation and a related liability is recognized. Participants may elect designated benchmark investment options for the notional investment of their deferred compensation. The deferred compensation obligation is adjusted for deemed income or loss related to the investments selected. At the time the participants defer compensation, the Company records a liability, which is included 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The liability is adjusted for changes in the market value of the participant-selected investments at the end of each accounting period, and the impact of adjusting the liability is recorded as an increase or decrease to compensation cost.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purchased insurance policies and mutual funds which can be utilized as a funding source for the Company’s obligations under the Plan. Participants in the Plan have no interest in any assets set aside by the Company to meet its obligations under the Plan. For each of the years ended December 31, 2025, December 31, 2024 and December 31, 2023, the Company recorded a nominal amount of deferred compensation costs, net of investments in the company-owned insurance policies and mutual funds.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Participants in the Plan may elect to have all, or a portion of their deferred compensation invested in the Company’s common shares. The Company holds these shares in a rabbi trust, which is subject to the claims of the Company’s creditors in the event of the Company’s bankruptcy or insolvency. The Plan does not permit diversification of a participant’s deferral allocated to the Company common shares and deferrals allocated to Company common shares can only be settled with a fixed number of shares. In accordance with the accounting standard for deferred compensation arrangements where amounts earned are held in a rabbi trust and invested, the deferred compensation obligation associated with the Company’s common shares is classified as a component of shareholder’s equity and the related shares are treated as shares to be issued and are included in total shares outstanding. At December 31, 2025 and 2024, 1.6 million and 1.2 million of such shares, respectively, were included in total shares outstanding, respectively. Subsequent changes in the fair value of the common shares are not reflected in operations or shareholders’ equity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DISTRIBUTIONS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tax characteristics of the 2025, 2024 and 2023 distributions paid: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28"/>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Common Share Distributions:</w:t>
            </w:r>
          </w:p>
        </w:tc>
        <w:tc>
          <w:tcPr>
            <w:tcW w:w="360" w:type="dxa"/>
            <w:vAlign w:val="bottom"/>
          </w:tcPr>
          <w:p>
            <w:pPr>
              <w:spacing w:after="0"/>
              <w:rPr>
                <w:sz w:val="19"/>
                <w:szCs w:val="19"/>
                <w:color w:val="auto"/>
              </w:rPr>
            </w:pPr>
          </w:p>
        </w:tc>
        <w:tc>
          <w:tcPr>
            <w:tcW w:w="356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Ordinary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gain</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Non-taxable distributions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per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classified as ordinary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54.40 %</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classified as capital gain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classified as non-taxable distribution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INCOME TAXES AND TAX CREDIT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Provision/Benefit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recognized for the estimated future tax consequences attributable to the differences between the financial statement carrying amounts of existing assets and liabilities and their respective income tax bases, and for net operating loss, capital loss and tax credit carryforwards. The deferred tax assets and liabilities are measured using the enacted income tax rates in effect for the year in which those temporary differences are expected to be realized or settled. The effect on the deferred tax assets and liabilities from a change in tax rates is recognized in earnings in the period when the new rate is enacted. However, deferred tax assets are recognized only to the extent that it is more likely than not that they will be realized based on consideration of all available evidence, including the future reversals of existing taxable temporary differences, future projected taxable income and tax planning strategies. Valuation allowances are provided if, based upon the weight of the available evidence, it is more likely than not that some or all of the deferred tax assets will not be realized.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were no deferred tax assets included within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The Company had no accruals for tax uncertainties as of December 31, 2025 and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there was no deferred income tax expense and de minimis current income tax expense. These amounts are included in “Income tax provision”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ACCUMULATED OTHER COMPREHENSIVE INCOME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components of accumulated other comprehensive income (loss) of the Parent Company and the Operating Partnership as of and for the three years ended December 31, 2025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Parent Company</w:t>
            </w:r>
          </w:p>
        </w:tc>
        <w:tc>
          <w:tcPr>
            <w:tcW w:w="180" w:type="dxa"/>
            <w:vAlign w:val="bottom"/>
          </w:tcPr>
          <w:p>
            <w:pPr>
              <w:spacing w:after="0"/>
              <w:rPr>
                <w:sz w:val="20"/>
                <w:szCs w:val="20"/>
                <w:color w:val="auto"/>
              </w:rPr>
            </w:pP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Cash Flow Hedges</w:t>
            </w:r>
          </w:p>
        </w:tc>
      </w:tr>
      <w:tr>
        <w:trPr>
          <w:trHeight w:val="22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9"/>
        </w:trPr>
        <w:tc>
          <w:tcPr>
            <w:tcW w:w="9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market value during year</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29"/>
        </w:trPr>
        <w:tc>
          <w:tcPr>
            <w:tcW w:w="9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Allocation of unrealized (gains)/losses on derivative financial instruments to noncontrolling interests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9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market value during year</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0"/>
        </w:trPr>
        <w:tc>
          <w:tcPr>
            <w:tcW w:w="9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Allocation of unrealized (gains)/losses on derivative financial instruments to noncontrolling interests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30"/>
        </w:trPr>
        <w:tc>
          <w:tcPr>
            <w:tcW w:w="9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market value during year</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29"/>
        </w:trPr>
        <w:tc>
          <w:tcPr>
            <w:tcW w:w="9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Allocation of unrealized (gains)/losses on derivative financial instruments to noncontrolling interests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9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0"/>
        </w:trPr>
        <w:tc>
          <w:tcPr>
            <w:tcW w:w="9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561"/>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Partnership</w:t>
            </w:r>
          </w:p>
        </w:tc>
        <w:tc>
          <w:tcPr>
            <w:tcW w:w="180" w:type="dxa"/>
            <w:vAlign w:val="bottom"/>
          </w:tcPr>
          <w:p>
            <w:pPr>
              <w:spacing w:after="0"/>
              <w:rPr>
                <w:sz w:val="24"/>
                <w:szCs w:val="24"/>
                <w:color w:val="auto"/>
              </w:rPr>
            </w:pP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Cash Flow Hedges</w:t>
            </w:r>
          </w:p>
        </w:tc>
      </w:tr>
      <w:tr>
        <w:trPr>
          <w:trHeight w:val="22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r>
      <w:tr>
        <w:trPr>
          <w:trHeight w:val="229"/>
        </w:trPr>
        <w:tc>
          <w:tcPr>
            <w:tcW w:w="9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market value during year</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23"/>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9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market value during year</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3"/>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30"/>
        </w:trPr>
        <w:tc>
          <w:tcPr>
            <w:tcW w:w="9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market value during year</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43"/>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0"/>
        </w:trPr>
        <w:tc>
          <w:tcPr>
            <w:tcW w:w="9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time, the unrealized gains and losses held in Accumulated Other Comprehensive Income (“AOCI”) will be reclassified to interest expense when the related hedged items are recognized in earnings. The current balance held in AOCI is expected to be reclassified to interest expense for realized losses on forecasted debt transactions over the related term of the debt obligation, as applicable.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18.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owns and manages properties within four segments: (1) Philadelphia Central Business District (“Philadelphia CBD”), (2) Pennsylvania Suburbs, (3) Austin, Texas and (4) Other. The Philadelphia CBD segment includes properties located in the City of Philadelphia, Pennsylvania. The Pennsylvania Suburbs segment includes properties in Chester, Delaware, and Montgomery counties in the Philadelphia suburbs. The Austin, Texas segment includes properties in the City of Austin, Texas. The Other segment includes properties located in Washington, D.C., Northern Virginia, Southern Maryland, Camden County, New Jersey and New Castle County, Delaware. In addition to the four segments, the corporate group is responsible for cash and investment management, development/redevelopment of certain real estate properties during the construction period, and certain other general support functions. Land held for development and construction in progress is transferred to operating properties by region upon completion of the associated construction or project.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Brandywine’s President and Chief Executive Officer has been identified as Brandywine’s Chief Operating Decision Maker (“CODM”), as defined in ASC</w:t>
      </w:r>
    </w:p>
    <w:p>
      <w:pPr>
        <w:spacing w:after="0" w:line="16" w:lineRule="exact"/>
        <w:rPr>
          <w:sz w:val="20"/>
          <w:szCs w:val="20"/>
          <w:color w:val="auto"/>
        </w:rPr>
      </w:pPr>
    </w:p>
    <w:p>
      <w:pPr>
        <w:ind w:left="5460" w:right="4660" w:hanging="5452"/>
        <w:spacing w:after="0" w:line="869" w:lineRule="auto"/>
        <w:tabs>
          <w:tab w:leader="none" w:pos="3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 evaluates Brandywine's portfolio and assesses the ongoing operations and 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ind w:right="20"/>
        <w:spacing w:after="0" w:line="250" w:lineRule="auto"/>
        <w:rPr>
          <w:sz w:val="20"/>
          <w:szCs w:val="20"/>
          <w:color w:val="auto"/>
        </w:rPr>
      </w:pPr>
      <w:r>
        <w:rPr>
          <w:rFonts w:ascii="Times New Roman" w:cs="Times New Roman" w:eastAsia="Times New Roman" w:hAnsi="Times New Roman"/>
          <w:sz w:val="18"/>
          <w:szCs w:val="18"/>
          <w:color w:val="auto"/>
        </w:rPr>
        <w:t>performance of its projects utilizing the geographic segments listed above. The following tables provide selected asset information and results of operations of the Company’s reportable segments (in thousands):</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investments, at cost: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December 31, 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1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2,080,220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1,549,463</w:t>
            </w:r>
          </w:p>
        </w:tc>
      </w:tr>
      <w:tr>
        <w:trPr>
          <w:trHeight w:val="213"/>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883,218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869,179</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510,030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671,150</w:t>
            </w:r>
          </w:p>
        </w:tc>
      </w:tr>
      <w:tr>
        <w:trPr>
          <w:trHeight w:val="207"/>
        </w:trPr>
        <w:tc>
          <w:tcPr>
            <w:tcW w:w="2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Core Segments</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3,473,468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3,089,792</w:t>
            </w:r>
          </w:p>
        </w:tc>
      </w:tr>
      <w:tr>
        <w:trPr>
          <w:trHeight w:val="21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280,312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277,755</w:t>
            </w:r>
          </w:p>
        </w:tc>
      </w:tr>
      <w:tr>
        <w:trPr>
          <w:trHeight w:val="207"/>
        </w:trPr>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Properties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3,753,780</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3,367,547</w:t>
            </w: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32"/>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213"/>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ground leases, net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51,399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r>
      <w:tr>
        <w:trPr>
          <w:trHeight w:val="213"/>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Right of use asset - operating leases, net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18,412</w:t>
            </w:r>
          </w:p>
        </w:tc>
      </w:tr>
      <w:tr>
        <w:trPr>
          <w:trHeight w:val="219"/>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Construction-in-progress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118,543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94,628</w:t>
            </w:r>
          </w:p>
        </w:tc>
      </w:tr>
      <w:tr>
        <w:trPr>
          <w:trHeight w:val="213"/>
        </w:trPr>
        <w:tc>
          <w:tcPr>
            <w:tcW w:w="2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 held for development</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70,405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81,318</w:t>
            </w:r>
          </w:p>
        </w:tc>
      </w:tr>
      <w:tr>
        <w:trPr>
          <w:trHeight w:val="219"/>
        </w:trPr>
        <w:tc>
          <w:tcPr>
            <w:tcW w:w="432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leasehold interests in land held for development, net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27,762</w:t>
            </w:r>
          </w:p>
        </w:tc>
      </w:tr>
      <w:tr>
        <w:trPr>
          <w:trHeight w:val="254"/>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12"/>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48"/>
        </w:trPr>
        <w:tc>
          <w:tcPr>
            <w:tcW w:w="2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9"/>
          </w:tcPr>
          <w:p>
            <w:pPr>
              <w:jc w:val="center"/>
              <w:ind w:right="220"/>
              <w:spacing w:after="0"/>
              <w:rPr>
                <w:sz w:val="20"/>
                <w:szCs w:val="20"/>
                <w:color w:val="auto"/>
              </w:rPr>
            </w:pPr>
            <w:r>
              <w:rPr>
                <w:rFonts w:ascii="Times New Roman" w:cs="Times New Roman" w:eastAsia="Times New Roman" w:hAnsi="Times New Roman"/>
                <w:sz w:val="16"/>
                <w:szCs w:val="16"/>
                <w:color w:val="auto"/>
              </w:rPr>
              <w:t>Year Ended December 31,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0"/>
        </w:trPr>
        <w:tc>
          <w:tcPr>
            <w:tcW w:w="2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58"/>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3"/>
                <w:szCs w:val="13"/>
                <w:color w:val="auto"/>
              </w:rPr>
            </w:pPr>
          </w:p>
        </w:tc>
        <w:tc>
          <w:tcPr>
            <w:tcW w:w="7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color w:val="auto"/>
              </w:rPr>
              <w:t>Net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w w:val="99"/>
              </w:rPr>
              <w:t>Operating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color w:val="auto"/>
              </w:rPr>
              <w:t>Net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3"/>
                <w:szCs w:val="13"/>
                <w:color w:val="auto"/>
              </w:rPr>
            </w:pPr>
          </w:p>
        </w:tc>
        <w:tc>
          <w:tcPr>
            <w:tcW w:w="7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color w:val="auto"/>
              </w:rPr>
              <w:t>Net</w:t>
            </w:r>
          </w:p>
        </w:tc>
      </w:tr>
      <w:tr>
        <w:trPr>
          <w:trHeight w:val="162"/>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revenue</w:t>
            </w:r>
          </w:p>
        </w:tc>
        <w:tc>
          <w:tcPr>
            <w:tcW w:w="10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expenses (a)</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4"/>
                <w:szCs w:val="14"/>
                <w:color w:val="auto"/>
              </w:rPr>
            </w:pPr>
          </w:p>
        </w:tc>
        <w:tc>
          <w:tcPr>
            <w:tcW w:w="8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revenue</w:t>
            </w:r>
          </w:p>
        </w:tc>
        <w:tc>
          <w:tcPr>
            <w:tcW w:w="10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expenses (a)</w:t>
            </w:r>
          </w:p>
        </w:tc>
        <w:tc>
          <w:tcPr>
            <w:tcW w:w="120" w:type="dxa"/>
            <w:vAlign w:val="bottom"/>
          </w:tcPr>
          <w:p>
            <w:pPr>
              <w:spacing w:after="0"/>
              <w:rPr>
                <w:sz w:val="14"/>
                <w:szCs w:val="14"/>
                <w:color w:val="auto"/>
              </w:rPr>
            </w:pPr>
          </w:p>
        </w:tc>
        <w:tc>
          <w:tcPr>
            <w:tcW w:w="86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w w:val="99"/>
              </w:rPr>
              <w:t>operating</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6"/>
                <w:szCs w:val="16"/>
                <w:color w:val="auto"/>
              </w:rPr>
              <w:t>revenue</w:t>
            </w:r>
          </w:p>
        </w:tc>
        <w:tc>
          <w:tcPr>
            <w:tcW w:w="40" w:type="dxa"/>
            <w:vAlign w:val="bottom"/>
          </w:tcPr>
          <w:p>
            <w:pPr>
              <w:spacing w:after="0"/>
              <w:rPr>
                <w:sz w:val="14"/>
                <w:szCs w:val="14"/>
                <w:color w:val="auto"/>
              </w:rPr>
            </w:pPr>
          </w:p>
        </w:tc>
        <w:tc>
          <w:tcPr>
            <w:tcW w:w="102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expenses (a)</w:t>
            </w:r>
          </w:p>
        </w:tc>
        <w:tc>
          <w:tcPr>
            <w:tcW w:w="120" w:type="dxa"/>
            <w:vAlign w:val="bottom"/>
          </w:tcPr>
          <w:p>
            <w:pPr>
              <w:spacing w:after="0"/>
              <w:rPr>
                <w:sz w:val="14"/>
                <w:szCs w:val="14"/>
                <w:color w:val="auto"/>
              </w:rPr>
            </w:pPr>
          </w:p>
        </w:tc>
        <w:tc>
          <w:tcPr>
            <w:tcW w:w="7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w w:val="99"/>
              </w:rPr>
              <w:t>operating</w:t>
            </w:r>
          </w:p>
        </w:tc>
      </w:tr>
      <w:tr>
        <w:trPr>
          <w:trHeight w:val="213"/>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income</w:t>
            </w:r>
          </w:p>
        </w:tc>
      </w:tr>
      <w:tr>
        <w:trPr>
          <w:trHeight w:val="212"/>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151,354</w:t>
            </w:r>
          </w:p>
        </w:tc>
      </w:tr>
      <w:tr>
        <w:trPr>
          <w:trHeight w:val="213"/>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89,716</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57,052</w:t>
            </w:r>
          </w:p>
        </w:tc>
      </w:tr>
      <w:tr>
        <w:trPr>
          <w:trHeight w:val="213"/>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18,172</w:t>
            </w:r>
          </w:p>
        </w:tc>
      </w:tr>
      <w:tr>
        <w:trPr>
          <w:trHeight w:val="21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19,607</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w:t>
            </w:r>
          </w:p>
        </w:tc>
      </w:tr>
      <w:tr>
        <w:trPr>
          <w:trHeight w:val="212"/>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properties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484,454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(185,194)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505,517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(187,330)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318,187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514,651</w:t>
            </w:r>
          </w:p>
        </w:tc>
        <w:tc>
          <w:tcPr>
            <w:tcW w:w="10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(189,947)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324,704</w:t>
            </w:r>
          </w:p>
        </w:tc>
      </w:tr>
      <w:tr>
        <w:trPr>
          <w:trHeight w:val="21"/>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operating expense, real estate taxes and third party management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Unconsolidated real estate ventures: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color w:val="auto"/>
              </w:rPr>
              <w:t>Investment in real estate ventures, at equity</w:t>
            </w:r>
          </w:p>
        </w:tc>
        <w:tc>
          <w:tcPr>
            <w:tcW w:w="3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7"/>
          </w:tcPr>
          <w:p>
            <w:pPr>
              <w:jc w:val="center"/>
              <w:ind w:right="219"/>
              <w:spacing w:after="0"/>
              <w:rPr>
                <w:sz w:val="20"/>
                <w:szCs w:val="20"/>
                <w:color w:val="auto"/>
              </w:rPr>
            </w:pPr>
            <w:r>
              <w:rPr>
                <w:rFonts w:ascii="Times New Roman" w:cs="Times New Roman" w:eastAsia="Times New Roman" w:hAnsi="Times New Roman"/>
                <w:sz w:val="16"/>
                <w:szCs w:val="16"/>
                <w:color w:val="auto"/>
              </w:rPr>
              <w:t>Equity in income (loss) of real estate venture</w:t>
            </w:r>
          </w:p>
        </w:tc>
      </w:tr>
      <w:tr>
        <w:trPr>
          <w:trHeight w:val="210"/>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9"/>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2024</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(25,793)</w:t>
            </w: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Mid-Atlantic Office JV</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(26,448)</w:t>
            </w: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MAP Venture</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(10,581)</w:t>
            </w: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(15,093)</w:t>
            </w:r>
          </w:p>
        </w:tc>
      </w:tr>
      <w:tr>
        <w:trPr>
          <w:trHeight w:val="207"/>
        </w:trPr>
        <w:tc>
          <w:tcPr>
            <w:tcW w:w="3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314,326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570,455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(57,681)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(191,585)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(77,915)</w:t>
            </w: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operating income (“NOI”) is a non-GAAP financial measure, which we define as total property revenue less property operating expenses, real estate taxes, and third party management expenses. Property operating expenses that are included in determining NOI consist of costs that are necessary and allocable to our operating properties such as utilities, property-level salaries, repairs and maintenance, property insurance and management fees. General and administrative expenses that are not reflected in NOI primarily consist of corporate-level salaries, amortization of share awards and professional fees that are incurred as part of corporate office management. NOI presented by the Company may not be comparable to NOI reported by other companies that define NOI differently. NOI is the primary measure that is used by the Company's CODM to evaluate the operating performance of the Company's real estate assets by segment. The CODM utilizes NOI as we believe it provides useful information regarding the financial condition and results of operations because it reflects only those income and expense items that are incurred at the property level. While NOI is a relevant and widely used measure of operating performance of real estate investment trusts, it does not represent cash flow from operations or net income as defined by</w:t>
      </w:r>
    </w:p>
    <w:p>
      <w:pPr>
        <w:sectPr>
          <w:pgSz w:w="11900" w:h="16838" w:orient="portrait"/>
          <w:cols w:equalWidth="0" w:num="1">
            <w:col w:w="11240"/>
          </w:cols>
          <w:pgMar w:left="320" w:top="10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121" w:name="page122"/>
    <w:bookmarkEnd w:id="121"/>
    <w:p>
      <w:pPr>
        <w:jc w:val="both"/>
        <w:spacing w:after="0" w:line="261" w:lineRule="auto"/>
        <w:rPr>
          <w:sz w:val="20"/>
          <w:szCs w:val="20"/>
          <w:color w:val="auto"/>
        </w:rPr>
      </w:pPr>
      <w:r>
        <w:rPr>
          <w:rFonts w:ascii="Times New Roman" w:cs="Times New Roman" w:eastAsia="Times New Roman" w:hAnsi="Times New Roman"/>
          <w:sz w:val="18"/>
          <w:szCs w:val="18"/>
          <w:color w:val="auto"/>
        </w:rPr>
        <w:t>GAAP and should not be considered as an alternative to those measures in evaluating our liquidity or operating performance. NOI does not reflect interest expenses, real estate impairment losses, depreciation and amortization costs, capital expenditures and leasing costs. The Company believes that net income (loss), as defined by GAAP, is the most appropriate earnings measure. The following is a reconciliation of consolidated net income (loss), as defined by GAAP, to consolidated NOI,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95,456</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amortization of deferred financing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188,797</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34,862</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loss of unconsolidated real estate ventures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77,915</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impairment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131,573</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early extinguishment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on disposition of real estate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 (loss) on sale of undepreciated real estate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on real estate venture transactions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324,704</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19.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litigation on various matters, including disputes with tenants, disputes with vendors, employee disputes and disputes arising out of agreements to purchase or sell properties or joint ventures or disputes relating to state and local taxes. Given the nature of the Company’s business activities, these lawsuits are considered routine to the conduct of its business. The result of any particular lawsuit cannot be predicted, because of the very nature of litigation, the litigation process and its adversarial nature, and the jury system. The Company will establish reserves for specific legal proceedings when it determines that the likelihood of an unfavorable outcome is probable and when the amount of loss is reasonably estimable. The Company does not expect that the liabilities, if any, that may ultimately result from such legal actions will have a material adverse effect on the consolidated financial position, results of operations or cash flows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owner of real estate, the Company is subject to various environmental laws of federal, state, and local governments. The Company’s compliance with existing laws has not had a material adverse effect on its financial condition and results of operations, and the Company does not believe it will have a material adverse effect in the future. However, the Company cannot predict the impact of unforeseen environmental contingencies or new or changed laws or regulations on its current Properties or on properties that the Company may acquire.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Guarantees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Company's unconsolidated real estate ventures had aggregate indebtedness of $586.4 million. These loans are generally mortgage or construction loans, most of which are nonrecourse to the Company, except for customary recourse carve-outs. In addition, during construction undertaken by the unconsolidated real estate ventures, including the One Uptown Ventures, the Company has provided, and expects to continue to provide, cost overrun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2" w:name="page123"/>
    <w:bookmarkEnd w:id="122"/>
    <w:p>
      <w:pPr>
        <w:jc w:val="both"/>
        <w:spacing w:after="0" w:line="282" w:lineRule="auto"/>
        <w:rPr>
          <w:sz w:val="20"/>
          <w:szCs w:val="20"/>
          <w:color w:val="auto"/>
        </w:rPr>
      </w:pPr>
      <w:r>
        <w:rPr>
          <w:rFonts w:ascii="Times New Roman" w:cs="Times New Roman" w:eastAsia="Times New Roman" w:hAnsi="Times New Roman"/>
          <w:sz w:val="18"/>
          <w:szCs w:val="18"/>
          <w:color w:val="auto"/>
        </w:rPr>
        <w:t>completion guarantees, as well as customary environmental indemnities and guarantees of customary exceptions to nonrecourse provisions in loan agreements and in certain circumstances, joint venture agreements.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respect to the One Uptown Ventures, the Company has provided completion guarantees and environmental indemnities in favor of its partner. In addition, the Company has provided completion guarantees, environmental indemnities and guarantees of exceptions to nonrecourse loan provisions in favor of the lenders for the One Uptown Ventures. Moreover, the Company has provided, in favor of the lenders, carry guarantees and limited payment guarantees up to 30% and 15% of the principal balance of the $121.7 million (office) and $85.0 million (multifamily) construction loans, respectively.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agreed, pursuant to the leasehold mortgage loan to the New MAP Venture, to fund up to an additional $12.0 million for tenant and capital improvements pursuant to leases that the Company proposes, in its discretion, to enter into at the properties owned (through leasehold interests) by the New MAP Venture, which amounts, when funded, will accrue interest at 8.0% per annum. As of December 31, 2025, the Company has not funded any additional capital pursuant to the leasehold mortgage loan.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 of Natural Disasters and Casualty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certain losses, including those relating to property damage. The Company records the estimated amount of expected insurance proceeds for property damage and other losses incurred as an asset (typically a receivable from the insurer) and income up to the amount of the losses incurred when receipt of insurance proceeds is deemed probable. Any amount of insurance recovery in excess of the amount of the losses is considered a gain contingency and is not recorded until the proceeds are received.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 or Contingencies</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Schuylkill Yards Project, the Company entered into a neighborhood engagement program and, as of December 31, 2025, had $4.2 million of future fixed contractual obligations. The Company also committed to fund additional contributions under the program. As of December 31, 2025, the Company estimates that these additional contributions, which are not fixed under the terms of agreement, will be $2.0 million.</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Company’s September 2004 acquisition of a portfolio of properties (which the Company refers to as the “TRC acquisition”), the Company acquired its interest in Two Logan Square, a 708,844 square foot office building in Philadelphia, Pennsylvania primarily through its ownership of a second and third mortgage secured by this property. This property is consolidated, as the borrower is a variable interest entity and the Company, through its ownership of the second and third mortgages, is the primary beneficiary. On October 21, 2020, the Company also acquired the $79.8 million first mortgage on the property from the third-party mortgage lender pursuant to an agreement with certain of the former owners. Under the agreement, the Company has agreed to not take title to Two Logan until the earlier of June 2026 or the occurrence of certain events related to the ownership interests of certain former owners. If the Company were to sell the restricted property before the expiration of the restricted period in a non-exempt transaction, the Company may be required to make significant payments to certain of the former owners of Two Logan Square on account of tax liabilities attributed to them. Additionally, the Company will be required to pay these certain former owners an amount estimated at approximately $0.6 million to redeem their residual interest in the fee owner of this property. The $0.6 million payment is included within “Other liabilities” on the consolidated balance sheets.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also committed $15.0 million to a venture capital fund that invests in early-stage life science companies. As of December 31, 2025, the Company had funded $4.6 million of the foregoing commitment.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invests in its properties and regularly incurs capital expenditures in the ordinary course of business to maintain the properties. The Company believes that such expenditures enhance its competitiveness. The Company also enters into construction, utility and service contracts in the ordinary course of business which may extend beyond one year. These contracts typically provide for cancellation with insignificant or no cancellation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Brandywine Realty Trust and Brandywine Operating Partnership,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Balance at</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Balance at End of</w:t>
            </w: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Beginning of Year</w:t>
            </w:r>
          </w:p>
        </w:tc>
        <w:tc>
          <w:tcPr>
            <w:tcW w:w="2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Deductions (1)</w:t>
            </w:r>
          </w:p>
        </w:tc>
        <w:tc>
          <w:tcPr>
            <w:tcW w:w="320" w:type="dxa"/>
            <w:vAlign w:val="bottom"/>
          </w:tcPr>
          <w:p>
            <w:pPr>
              <w:spacing w:after="0"/>
              <w:rPr>
                <w:sz w:val="21"/>
                <w:szCs w:val="21"/>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Year</w:t>
            </w:r>
          </w:p>
        </w:tc>
      </w:tr>
      <w:tr>
        <w:trPr>
          <w:trHeight w:val="223"/>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4"/>
        </w:trPr>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3"/>
        </w:trPr>
        <w:tc>
          <w:tcPr>
            <w:tcW w:w="512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909</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hanging="332"/>
        <w:spacing w:after="0" w:line="302" w:lineRule="auto"/>
        <w:tabs>
          <w:tab w:leader="none" w:pos="33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represent amounts that the Company had fully reserved for in prior years and were subsequently deemed uncollectible. Deductions also represent reversals of the accrued rent receivable allowance as a result of the Company's ongoing assessment of its general accrued rent receivable reserve.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18"/>
          <w:szCs w:val="18"/>
          <w:color w:val="auto"/>
        </w:rPr>
        <w:t>BRANDYWINE REALTY TRUST AND BRANDYWINE OPERATING PARTNERSHIP, L.P.</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Schedule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Real Estate and Accumulated Depreciation — December 31,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Initial Cost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w w:val="99"/>
              </w:rPr>
              <w:t>Gross Amount Which Carried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11"/>
                <w:szCs w:val="11"/>
                <w:color w:val="auto"/>
              </w:rPr>
              <w:t>December 31, 2025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38"/>
              <w:spacing w:after="0" w:line="102" w:lineRule="exact"/>
              <w:rPr>
                <w:sz w:val="20"/>
                <w:szCs w:val="20"/>
                <w:color w:val="auto"/>
              </w:rPr>
            </w:pPr>
            <w:r>
              <w:rPr>
                <w:rFonts w:ascii="Times New Roman" w:cs="Times New Roman" w:eastAsia="Times New Roman" w:hAnsi="Times New Roman"/>
                <w:sz w:val="11"/>
                <w:szCs w:val="11"/>
                <w:color w:val="auto"/>
              </w:rPr>
              <w:t>Net</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8"/>
              </w:rPr>
              <w:t>Accumulated</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rPr>
              <w:t>Improvements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w w:val="96"/>
              </w:rPr>
              <w:t>Building &amp;</w:t>
            </w:r>
          </w:p>
        </w:tc>
        <w:tc>
          <w:tcPr>
            <w:tcW w:w="80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9"/>
              </w:rPr>
              <w:t>(Retirements)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Building &amp;</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Depreciation at</w:t>
            </w: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Year of</w:t>
            </w: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w w:val="93"/>
              </w:rPr>
              <w:t>Year</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Depreciable</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Property Name</w:t>
            </w:r>
          </w:p>
        </w:tc>
        <w:tc>
          <w:tcPr>
            <w:tcW w:w="10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City</w:t>
            </w:r>
          </w:p>
        </w:tc>
        <w:tc>
          <w:tcPr>
            <w:tcW w:w="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State</w:t>
            </w: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Encumbrances</w:t>
            </w: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Land</w:t>
            </w: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color w:val="auto"/>
                <w:w w:val="97"/>
              </w:rPr>
              <w:t>Since</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Land</w:t>
            </w: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Total (a)</w:t>
            </w:r>
          </w:p>
        </w:tc>
        <w:tc>
          <w:tcPr>
            <w:tcW w:w="80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December 31,</w:t>
            </w:r>
          </w:p>
        </w:tc>
        <w:tc>
          <w:tcPr>
            <w:tcW w:w="7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w w:val="97"/>
              </w:rPr>
              <w:t>Improvements</w:t>
            </w: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Acquisition</w:t>
            </w:r>
          </w:p>
        </w:tc>
        <w:tc>
          <w:tcPr>
            <w:tcW w:w="580" w:type="dxa"/>
            <w:vAlign w:val="bottom"/>
            <w:gridSpan w:val="2"/>
            <w:vMerge w:val="continue"/>
          </w:tcPr>
          <w:p>
            <w:pPr>
              <w:spacing w:after="0"/>
              <w:rPr>
                <w:sz w:val="12"/>
                <w:szCs w:val="12"/>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Improvements</w:t>
            </w: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5"/>
              </w:rPr>
              <w:t>2025 (b)</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Construction</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Acquired</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Life</w:t>
            </w:r>
          </w:p>
        </w:tc>
        <w:tc>
          <w:tcPr>
            <w:tcW w:w="0" w:type="dxa"/>
            <w:vAlign w:val="bottom"/>
          </w:tcPr>
          <w:p>
            <w:pPr>
              <w:spacing w:after="0"/>
              <w:rPr>
                <w:sz w:val="1"/>
                <w:szCs w:val="1"/>
                <w:color w:val="auto"/>
              </w:rPr>
            </w:pPr>
          </w:p>
        </w:tc>
      </w:tr>
      <w:tr>
        <w:trPr>
          <w:trHeight w:val="22"/>
        </w:trPr>
        <w:tc>
          <w:tcPr>
            <w:tcW w:w="1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PENNSYLVANIA SUBURBS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Six Tower Bridge (181 Washington</w:t>
            </w: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Street)</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Conshohocken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$ 6,927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6,236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$ 21,989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426</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Lancaster Avenue</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Devon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9,296</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16,055</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640</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Freedom Business Center (d)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620</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Freedom Business Center (d)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11,753</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1000 First Avenue</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3,232</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1060 First Avenue</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15,077</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7"/>
        </w:trPr>
        <w:tc>
          <w:tcPr>
            <w:tcW w:w="2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630</w:t>
            </w:r>
          </w:p>
        </w:tc>
        <w:tc>
          <w:tcPr>
            <w:tcW w:w="16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Freedom Business Center</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Drive (d)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16,544</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1020 First Avenue</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4,230</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1040 First Avenue</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4,956</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2"/>
        </w:trPr>
        <w:tc>
          <w:tcPr>
            <w:tcW w:w="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610</w:t>
            </w:r>
          </w:p>
        </w:tc>
        <w:tc>
          <w:tcPr>
            <w:tcW w:w="16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Freedom Business Center</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Drive (d)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650</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Park Avenue</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Park Avenue</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933</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Avenue</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500</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North Gulph Road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7"/>
        </w:trPr>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Plymouth</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401</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Plymouth Road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Meeting</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32,694</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Plymouth</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Metroplex (4000 Chemical Road)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Meeting</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30"/>
        </w:trPr>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Plymouth</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Metroplex II</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Meeting</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Plymouth</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Metroplex III</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Meeting</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Plymouth</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351</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Plymouth Road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Meeting</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150</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 Chester Road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21,323</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58,337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31,935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One Radnor Corporate Center</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 Road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12,235</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42,053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28,342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555</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Lancaster Avenue</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Four Radnor Corporate Center</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5,810</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Five Radnor Corporate Center</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31,865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Three Radnor Corporate Center</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Two Radnor Corporate Center</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130</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 Chester Road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170</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Radnor Chester Road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155</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King of Prussia Road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74,543</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63,111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2,613</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250</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 of Prussia Road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Radnor</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65,341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15,760</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W.</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West Elm Street</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Conshohocken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13,947</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9"/>
        </w:trPr>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 West Elm Street</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Conshohocken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9,139</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4" w:right="3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auto"/>
              </w:rPr>
              <w:t>Initial Cost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1"/>
                <w:szCs w:val="11"/>
                <w:color w:val="auto"/>
                <w:w w:val="99"/>
              </w:rPr>
              <w:t>Gross Amount Which Carried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ind w:left="360"/>
              <w:spacing w:after="0"/>
              <w:rPr>
                <w:sz w:val="20"/>
                <w:szCs w:val="20"/>
                <w:color w:val="auto"/>
              </w:rPr>
            </w:pPr>
            <w:r>
              <w:rPr>
                <w:rFonts w:ascii="Times New Roman" w:cs="Times New Roman" w:eastAsia="Times New Roman" w:hAnsi="Times New Roman"/>
                <w:sz w:val="11"/>
                <w:szCs w:val="11"/>
                <w:color w:val="auto"/>
              </w:rPr>
              <w:t>December 31, 2025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w w:val="87"/>
              </w:rPr>
              <w:t>Net</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w w:val="98"/>
              </w:rPr>
              <w:t>Accumulated</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Improvements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6"/>
              </w:rPr>
              <w:t>Building &amp;</w:t>
            </w:r>
          </w:p>
        </w:tc>
        <w:tc>
          <w:tcPr>
            <w:tcW w:w="7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5"/>
              </w:rPr>
              <w:t>(Retirements)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Building &amp;</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1"/>
                <w:szCs w:val="11"/>
                <w:color w:val="auto"/>
                <w:w w:val="97"/>
              </w:rPr>
              <w:t>Depreciation at</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w w:val="95"/>
              </w:rPr>
              <w:t>Year of</w:t>
            </w: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Year</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Depreciable</w:t>
            </w:r>
          </w:p>
        </w:tc>
        <w:tc>
          <w:tcPr>
            <w:tcW w:w="0" w:type="dxa"/>
            <w:vAlign w:val="bottom"/>
          </w:tcPr>
          <w:p>
            <w:pPr>
              <w:spacing w:after="0"/>
              <w:rPr>
                <w:sz w:val="1"/>
                <w:szCs w:val="1"/>
                <w:color w:val="auto"/>
              </w:rPr>
            </w:pPr>
          </w:p>
        </w:tc>
      </w:tr>
      <w:tr>
        <w:trPr>
          <w:trHeight w:val="108"/>
        </w:trPr>
        <w:tc>
          <w:tcPr>
            <w:tcW w:w="1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1"/>
                <w:szCs w:val="11"/>
                <w:color w:val="auto"/>
              </w:rPr>
              <w:t>Property Name</w:t>
            </w:r>
          </w:p>
        </w:tc>
        <w:tc>
          <w:tcPr>
            <w:tcW w:w="10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City</w:t>
            </w:r>
          </w:p>
        </w:tc>
        <w:tc>
          <w:tcPr>
            <w:tcW w:w="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State</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Encumbrances</w:t>
            </w: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Land</w:t>
            </w:r>
          </w:p>
        </w:tc>
        <w:tc>
          <w:tcPr>
            <w:tcW w:w="820" w:type="dxa"/>
            <w:vAlign w:val="bottom"/>
            <w:gridSpan w:val="2"/>
            <w:vMerge w:val="continue"/>
          </w:tcPr>
          <w:p>
            <w:pPr>
              <w:spacing w:after="0"/>
              <w:rPr>
                <w:sz w:val="9"/>
                <w:szCs w:val="9"/>
                <w:color w:val="auto"/>
              </w:rPr>
            </w:pPr>
          </w:p>
        </w:tc>
        <w:tc>
          <w:tcPr>
            <w:tcW w:w="7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Since</w:t>
            </w: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Land</w:t>
            </w:r>
          </w:p>
        </w:tc>
        <w:tc>
          <w:tcPr>
            <w:tcW w:w="840" w:type="dxa"/>
            <w:vAlign w:val="bottom"/>
            <w:gridSpan w:val="2"/>
            <w:vMerge w:val="continue"/>
          </w:tcPr>
          <w:p>
            <w:pPr>
              <w:spacing w:after="0"/>
              <w:rPr>
                <w:sz w:val="9"/>
                <w:szCs w:val="9"/>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Total (a)</w:t>
            </w:r>
          </w:p>
        </w:tc>
        <w:tc>
          <w:tcPr>
            <w:tcW w:w="8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December 31,</w:t>
            </w:r>
          </w:p>
        </w:tc>
        <w:tc>
          <w:tcPr>
            <w:tcW w:w="7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Improvements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Acquisition</w:t>
            </w:r>
          </w:p>
        </w:tc>
        <w:tc>
          <w:tcPr>
            <w:tcW w:w="600" w:type="dxa"/>
            <w:vAlign w:val="bottom"/>
            <w:gridSpan w:val="2"/>
            <w:vMerge w:val="continue"/>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Improvements</w:t>
            </w:r>
          </w:p>
        </w:tc>
        <w:tc>
          <w:tcPr>
            <w:tcW w:w="620" w:type="dxa"/>
            <w:vAlign w:val="bottom"/>
            <w:gridSpan w:val="2"/>
            <w:vMerge w:val="continue"/>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2025 (b)</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Construction</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Acquired</w:t>
            </w:r>
          </w:p>
        </w:tc>
        <w:tc>
          <w:tcPr>
            <w:tcW w:w="6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Life</w:t>
            </w:r>
          </w:p>
        </w:tc>
        <w:tc>
          <w:tcPr>
            <w:tcW w:w="0" w:type="dxa"/>
            <w:vAlign w:val="bottom"/>
          </w:tcPr>
          <w:p>
            <w:pPr>
              <w:spacing w:after="0"/>
              <w:rPr>
                <w:sz w:val="1"/>
                <w:szCs w:val="1"/>
                <w:color w:val="auto"/>
              </w:rPr>
            </w:pPr>
          </w:p>
        </w:tc>
      </w:tr>
      <w:tr>
        <w:trPr>
          <w:trHeight w:val="22"/>
        </w:trPr>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PHILADELPHIA CBD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Cira Centre (2929 Arch Street)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208,570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58,100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254,084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266,670</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102,901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1"/>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Three Logan Square (1717 Arch</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Street)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98,188</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87,354</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160,347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185,542</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72,777</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30"/>
        </w:trPr>
        <w:tc>
          <w:tcPr>
            <w:tcW w:w="19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One Logan Square (130 North 18th</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Street)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107,736</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38,939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146,698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161,171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82,310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2"/>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Two Logan Square (100 North 18th</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Street)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100,255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38,296</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16,066</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138,551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154,617</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77,995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9"/>
        </w:trPr>
        <w:tc>
          <w:tcPr>
            <w:tcW w:w="19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Cira Centre South Garage (129</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 30th Street)(d)</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76,008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96,281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102,651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1900 Market Street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58,886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76,149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83,917</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42,672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3020 Market Street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4,902</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618-634 Market Street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13,365</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7"/>
        </w:trPr>
        <w:tc>
          <w:tcPr>
            <w:tcW w:w="19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FMC Tower at Cira Centre South</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(2929 Walnut Street)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400,294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10,006</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410,300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410,300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129,095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2100 Market Street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18,827</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18,854</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1505-11 Race Street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9,731</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3000 Market Street (e)</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17,349</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18,924</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49,353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7"/>
        </w:trPr>
        <w:tc>
          <w:tcPr>
            <w:tcW w:w="19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The Bulletin Building (3025</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 Street) (e)</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24,377</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53,106</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77,483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77,483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3001-3003 JFK Boulevard (f)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3025 JFK Boulevard - Office (d)(g)</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178,014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113,973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113,973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119,625</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2"/>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3025 JFK Boulevard - Multi-</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Family (d)(g)</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142,780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142,780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154,137</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3"/>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3151 Market Street (d)</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57,324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233,409</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233,409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260,730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 Lift at Juniper Street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19,192</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Austin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401-405 Colorado Street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114,572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115,136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115,136</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14,333</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11501 Burnet Road - Building 1</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11501 Burnet Road - Building 2</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11501 Burnet Road - Building 3</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3,688</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29,464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11501 Burnet Road - Building 4</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2,614</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11501 Burnet Road - Building 5</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26,044</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11501 Burnet Road - Building 6</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30,910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11501 Burnet Road - Building 8</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1"/>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11501 Burnet Road - Parking</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Garage</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19,826</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21,412</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16,609</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9"/>
        </w:trPr>
        <w:tc>
          <w:tcPr>
            <w:tcW w:w="19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Four Points Centre 3 (11120 Four</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Points Drive)</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41,449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1"/>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Four Barton Skyway (1301 South</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MoPac Expressway)</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57,041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(70,342)</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30"/>
        </w:trPr>
        <w:tc>
          <w:tcPr>
            <w:tcW w:w="19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Four Points Centre (11305 Four</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Points Drive)</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43,581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44,769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2"/>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River Place - Building 1 (6500</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River Place Boulevard)</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20,291</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30"/>
        </w:trPr>
        <w:tc>
          <w:tcPr>
            <w:tcW w:w="19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River Place - Building 2 (6500</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 Place Boulevard)</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12,217</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2"/>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River Place - Building 3 (6500</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River Place Boulevard)</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(19,086)</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10,683</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30"/>
        </w:trPr>
        <w:tc>
          <w:tcPr>
            <w:tcW w:w="19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River Place - Building 4 (6500</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 Place Boulevard</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18,617</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21,876</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21"/>
        </w:trPr>
        <w:tc>
          <w:tcPr>
            <w:tcW w:w="19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River Place - Building 5 (6500</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River Place Boulevard)</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16,232</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30"/>
        </w:trPr>
        <w:tc>
          <w:tcPr>
            <w:tcW w:w="19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River Place - Building 6 (6500</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 Place Boulevard)</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14,565</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49"/>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River Place - Building 7 (6500 River</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Place Boulevard)</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Austin</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TX</w:t>
            </w:r>
          </w:p>
        </w:tc>
        <w:tc>
          <w:tcPr>
            <w:tcW w:w="6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1,801</w:t>
            </w: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16,486</w:t>
            </w: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511</w:t>
            </w: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1,801</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16,997</w:t>
            </w: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18,798</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3,186</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2002</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w:t>
            </w:r>
          </w:p>
        </w:tc>
      </w:tr>
      <w:tr>
        <w:trPr>
          <w:trHeight w:val="129"/>
        </w:trPr>
        <w:tc>
          <w:tcPr>
            <w:tcW w:w="19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Quarry Lake II (4516 Seton Center</w:t>
            </w: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Parkway)</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Austin</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TX</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3,970</w:t>
            </w:r>
          </w:p>
        </w:tc>
        <w:tc>
          <w:tcPr>
            <w:tcW w:w="7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30,546</w:t>
            </w:r>
          </w:p>
        </w:tc>
        <w:tc>
          <w:tcPr>
            <w:tcW w:w="7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(34,516)</w:t>
            </w:r>
          </w:p>
        </w:tc>
        <w:tc>
          <w:tcPr>
            <w:tcW w:w="6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1998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Initial Cost</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w w:val="98"/>
              </w:rPr>
              <w:t>Gross Amount Which Carried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w w:val="97"/>
              </w:rPr>
              <w:t>December 31, 2025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Net</w:t>
            </w: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Accumulated</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rPr>
              <w:t>Improvements</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w w:val="96"/>
              </w:rPr>
              <w:t>Building &amp;</w:t>
            </w:r>
          </w:p>
        </w:tc>
        <w:tc>
          <w:tcPr>
            <w:tcW w:w="8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9"/>
              </w:rPr>
              <w:t>(Retirements)</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Building &amp;</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Depreciation at</w:t>
            </w: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5"/>
              </w:rPr>
              <w:t>Year of</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3"/>
              </w:rPr>
              <w:t>Year</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Depreciable</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Property Name</w:t>
            </w:r>
          </w:p>
        </w:tc>
        <w:tc>
          <w:tcPr>
            <w:tcW w:w="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City</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State</w:t>
            </w: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Encumbrances</w:t>
            </w: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Land</w:t>
            </w:r>
          </w:p>
        </w:tc>
        <w:tc>
          <w:tcPr>
            <w:tcW w:w="820" w:type="dxa"/>
            <w:vAlign w:val="bottom"/>
            <w:gridSpan w:val="2"/>
            <w:vMerge w:val="continue"/>
          </w:tcPr>
          <w:p>
            <w:pPr>
              <w:spacing w:after="0"/>
              <w:rPr>
                <w:sz w:val="9"/>
                <w:szCs w:val="9"/>
                <w:color w:val="auto"/>
              </w:rPr>
            </w:pPr>
          </w:p>
        </w:tc>
        <w:tc>
          <w:tcPr>
            <w:tcW w:w="8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7"/>
              </w:rPr>
              <w:t>Since</w:t>
            </w: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Land</w:t>
            </w:r>
          </w:p>
        </w:tc>
        <w:tc>
          <w:tcPr>
            <w:tcW w:w="820" w:type="dxa"/>
            <w:vAlign w:val="bottom"/>
            <w:gridSpan w:val="2"/>
            <w:vMerge w:val="continue"/>
          </w:tcPr>
          <w:p>
            <w:pPr>
              <w:spacing w:after="0"/>
              <w:rPr>
                <w:sz w:val="9"/>
                <w:szCs w:val="9"/>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Total (a)</w:t>
            </w: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December 31,</w:t>
            </w: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Improvements</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Acquisition</w:t>
            </w:r>
          </w:p>
        </w:tc>
        <w:tc>
          <w:tcPr>
            <w:tcW w:w="660" w:type="dxa"/>
            <w:vAlign w:val="bottom"/>
            <w:gridSpan w:val="2"/>
            <w:vMerge w:val="continue"/>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Improvements</w:t>
            </w:r>
          </w:p>
        </w:tc>
        <w:tc>
          <w:tcPr>
            <w:tcW w:w="760" w:type="dxa"/>
            <w:vAlign w:val="bottom"/>
            <w:gridSpan w:val="2"/>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2025 (b)</w:t>
            </w: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8"/>
              </w:rPr>
              <w:t>Construction</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7"/>
              </w:rPr>
              <w:t>Acquired</w:t>
            </w:r>
          </w:p>
        </w:tc>
        <w:tc>
          <w:tcPr>
            <w:tcW w:w="6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Life</w:t>
            </w: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6600</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Rockledge Drive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Bethesda</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37,421</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(8,859)</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1676</w:t>
            </w:r>
          </w:p>
        </w:tc>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International Drive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Mclean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97,538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(29,848)</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75,888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86,127</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8260</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Greensboro Drive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Mclean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33,964</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51,964</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2340</w:t>
            </w:r>
          </w:p>
        </w:tc>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Dulles Corner Boulevard</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Herndon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65,379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(21,250)</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50,727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60,474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Main Street - Plaza 1000</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Voorhees</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NJ</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7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Main Street - Piazza</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Voorhees</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NJ</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81"/>
        </w:trPr>
        <w:tc>
          <w:tcPr>
            <w:tcW w:w="1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Main Street - Promenade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Voorhees</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NJ</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170"/>
        </w:trPr>
        <w:tc>
          <w:tcPr>
            <w:tcW w:w="17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920 North King Street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Wilmington</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(18,172)</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201"/>
        </w:trPr>
        <w:tc>
          <w:tcPr>
            <w:tcW w:w="1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300 Delaware Avenue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Wilmington</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235,338</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$ 361,224</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2,852,836</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591,119</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$ 388,858</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3,416,321</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$ 3,805,179</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$ 1,259,090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127" w:name="page128"/>
    <w:bookmarkEnd w:id="127"/>
    <w:p>
      <w:pPr>
        <w:spacing w:after="0" w:line="108"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Real Estate: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real estate investments from January 1, 2023 to December 31, 2025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3,374,780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3,542,232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3,617,240</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 and assets placed into service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210,226</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Dispositions/impairments/placed into redevelopment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(251,190)</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Retirements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(34,044)</w:t>
            </w:r>
          </w:p>
        </w:tc>
      </w:tr>
      <w:tr>
        <w:trPr>
          <w:trHeight w:val="18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3,805,179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3,374,780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3,542,232</w:t>
            </w:r>
          </w:p>
        </w:tc>
      </w:tr>
      <w:tr>
        <w:trPr>
          <w:trHeight w:val="22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consolidated balance sheet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3,805,179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3,374,780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3,542,232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aggregate cost for federal income tax purposes is $2.8 billion as of December 31, 2025.</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(b)</w:t>
        <w:tab/>
        <w:t>Reconciliation of Accumulated Depreciation: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accumulated depreciation on real estate investments from January 1, 2023 to December 31, 2025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1,171,803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1,063,060</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158,194</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Dispositions/impairments/placed into redevelopment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(55,969)</w:t>
            </w:r>
          </w:p>
        </w:tc>
      </w:tr>
      <w:tr>
        <w:trPr>
          <w:trHeight w:val="19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Retirements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(38,394)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(33,493)</w:t>
            </w:r>
          </w:p>
        </w:tc>
      </w:tr>
      <w:tr>
        <w:trPr>
          <w:trHeight w:val="20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1,259,090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1,171,803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1,131,792</w:t>
            </w: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consolidated balance sheet</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1,259,090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1,171,803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1,131,792</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of the buildings and improvements are calculated over lives ranging from the life of the lease to 55 years.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 value represents unamortized prepaid ground lease.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 King of Prussia Road was fully placed into service in 2023.</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original construction date. Significant improvements were made to 3000 Market Street in 1988 and to The Bulletin Building in 2012.</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3025 JFK Boulevard is a mixed-use building with approximately 200,000 SF of office space (“3025 JFK Boulevard - Office”) and 326 apartment units (“3025 JFK Boulevard - Multi-Family”).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3.2.19</w:t>
      </w:r>
    </w:p>
    <w:p>
      <w:pPr>
        <w:spacing w:after="0" w:line="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ADMITTED PARTNERS OF</w:t>
      </w:r>
    </w:p>
    <w:p>
      <w:pPr>
        <w:spacing w:after="0" w:line="5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BRANDYWINE OPERATING PARTNERSHIP, L.P.</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Brandywine Holdings I,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Brandywine Realty Trust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Randle Scarborough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Shapiro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Gloria Kantor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Hirschman Family Trust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Geffner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UTW of Theodore Geffner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L. Hatfield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 Tombari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J. Gorman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J. Knauer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Revocable Trust Declaration of Thomas K. Terrill and Susan Jean Terrill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Redford Family Survivor’s Trust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Peter M. Reynolds and Christina A. Reynolds Family Trust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Martz Trust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Karie Brown Trust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Tara Lynne Brown Trust</w:t>
      </w:r>
    </w:p>
    <w:p>
      <w:pPr>
        <w:spacing w:after="0" w:line="203" w:lineRule="auto"/>
        <w:rPr>
          <w:sz w:val="20"/>
          <w:szCs w:val="20"/>
          <w:color w:val="auto"/>
        </w:rPr>
      </w:pPr>
      <w:r>
        <w:rPr>
          <w:rFonts w:ascii="Times New Roman" w:cs="Times New Roman" w:eastAsia="Times New Roman" w:hAnsi="Times New Roman"/>
          <w:sz w:val="18"/>
          <w:szCs w:val="18"/>
          <w:color w:val="auto"/>
        </w:rPr>
        <w:t>Kristen Stinnett-Brown Trust</w:t>
      </w:r>
    </w:p>
    <w:p>
      <w:pPr>
        <w:spacing w:after="0"/>
        <w:rPr>
          <w:sz w:val="20"/>
          <w:szCs w:val="20"/>
          <w:color w:val="auto"/>
        </w:rPr>
      </w:pPr>
      <w:r>
        <w:rPr>
          <w:rFonts w:ascii="Times New Roman" w:cs="Times New Roman" w:eastAsia="Times New Roman" w:hAnsi="Times New Roman"/>
          <w:sz w:val="18"/>
          <w:szCs w:val="18"/>
          <w:color w:val="auto"/>
        </w:rPr>
        <w:t>The Reynolds Family Partners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PARTNER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Brandywine Realty Trust</w:t>
      </w:r>
    </w:p>
    <w:p>
      <w:pPr>
        <w:sectPr>
          <w:pgSz w:w="11900" w:h="16838" w:orient="portrait"/>
          <w:cols w:equalWidth="0" w:num="1">
            <w:col w:w="11240"/>
          </w:cols>
          <w:pgMar w:left="320" w:top="900" w:right="339" w:bottom="1440" w:gutter="0" w:footer="0" w:header="0"/>
        </w:sectPr>
      </w:pPr>
    </w:p>
    <w:bookmarkStart w:id="129" w:name="page130"/>
    <w:bookmarkEnd w:id="129"/>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Schedule of Non-Employee Trustee Compensation</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(as revised, effective May 21, 2025)</w:t>
      </w:r>
    </w:p>
    <w:p>
      <w:pPr>
        <w:spacing w:after="0" w:line="207" w:lineRule="exact"/>
        <w:rPr>
          <w:sz w:val="20"/>
          <w:szCs w:val="20"/>
          <w:color w:val="auto"/>
        </w:rPr>
      </w:pPr>
    </w:p>
    <w:p>
      <w:pPr>
        <w:ind w:left="240" w:hanging="232"/>
        <w:spacing w:after="0"/>
        <w:tabs>
          <w:tab w:leader="none" w:pos="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Fee: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$75,000.</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payable at annual meeting of shareholders.</w:t>
      </w:r>
    </w:p>
    <w:p>
      <w:pPr>
        <w:spacing w:after="0" w:line="233" w:lineRule="exact"/>
        <w:rPr>
          <w:rFonts w:ascii="Times New Roman" w:cs="Times New Roman" w:eastAsia="Times New Roman" w:hAnsi="Times New Roman"/>
          <w:sz w:val="22"/>
          <w:szCs w:val="22"/>
          <w:color w:val="auto"/>
        </w:rPr>
      </w:pPr>
    </w:p>
    <w:p>
      <w:pPr>
        <w:ind w:left="660" w:right="60" w:hanging="4"/>
        <w:spacing w:after="0" w:line="269" w:lineRule="auto"/>
        <w:tabs>
          <w:tab w:leader="none" w:pos="1302"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payable in cash or common shares (valued at closing price on date of annual meeting of shareholders), at the election of each non-employee Trustee.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portion is eligible for deferral into the Deferred Compensation Plan.</w:t>
      </w:r>
    </w:p>
    <w:p>
      <w:pPr>
        <w:spacing w:after="0" w:line="233"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w:t>
      </w:r>
      <w:r>
        <w:rPr>
          <w:rFonts w:ascii="Times New Roman" w:cs="Times New Roman" w:eastAsia="Times New Roman" w:hAnsi="Times New Roman"/>
          <w:sz w:val="22"/>
          <w:szCs w:val="22"/>
          <w:color w:val="auto"/>
        </w:rPr>
        <w:t xml:space="preserve"> Equity </w:t>
      </w:r>
      <w:r>
        <w:rPr>
          <w:rFonts w:ascii="Times New Roman" w:cs="Times New Roman" w:eastAsia="Times New Roman" w:hAnsi="Times New Roman"/>
          <w:sz w:val="22"/>
          <w:szCs w:val="22"/>
          <w:u w:val="single" w:color="auto"/>
          <w:color w:val="auto"/>
        </w:rPr>
        <w:t>Award:</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$115,000 in common shares.</w:t>
      </w:r>
    </w:p>
    <w:p>
      <w:pPr>
        <w:spacing w:after="0" w:line="233" w:lineRule="exact"/>
        <w:rPr>
          <w:rFonts w:ascii="Times New Roman" w:cs="Times New Roman" w:eastAsia="Times New Roman" w:hAnsi="Times New Roman"/>
          <w:sz w:val="22"/>
          <w:szCs w:val="22"/>
          <w:color w:val="auto"/>
        </w:rPr>
      </w:pPr>
    </w:p>
    <w:p>
      <w:pPr>
        <w:ind w:left="660" w:hanging="4"/>
        <w:spacing w:after="0" w:line="282" w:lineRule="auto"/>
        <w:tabs>
          <w:tab w:leader="none" w:pos="1301"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common shares computed based on closing price of the common shares on date of annual meeting of shareholders and delivered immediately following the meeting date.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fully vested at grant.</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are not eligible for deferral into the Deferred Compensation Plan.</w:t>
      </w:r>
    </w:p>
    <w:p>
      <w:pPr>
        <w:spacing w:after="0" w:line="273" w:lineRule="exact"/>
        <w:rPr>
          <w:rFonts w:ascii="Times New Roman" w:cs="Times New Roman" w:eastAsia="Times New Roman" w:hAnsi="Times New Roman"/>
          <w:sz w:val="22"/>
          <w:szCs w:val="22"/>
          <w:color w:val="auto"/>
        </w:rPr>
      </w:pPr>
    </w:p>
    <w:p>
      <w:pPr>
        <w:ind w:left="300" w:hanging="227"/>
        <w:spacing w:after="0"/>
        <w:tabs>
          <w:tab w:leader="none" w:pos="3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 Fees:</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Chair - $75,000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Committee Chair - $37,000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Chair - $24,000 per year.</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Governance Committee Chair - $21,000 per year.</w:t>
      </w:r>
    </w:p>
    <w:p>
      <w:pPr>
        <w:spacing w:after="0" w:line="233" w:lineRule="exact"/>
        <w:rPr>
          <w:rFonts w:ascii="Times New Roman" w:cs="Times New Roman" w:eastAsia="Times New Roman" w:hAnsi="Times New Roman"/>
          <w:sz w:val="22"/>
          <w:szCs w:val="22"/>
          <w:color w:val="auto"/>
        </w:rPr>
      </w:pPr>
    </w:p>
    <w:p>
      <w:pPr>
        <w:ind w:left="660" w:right="120" w:hanging="4"/>
        <w:spacing w:after="0" w:line="269" w:lineRule="auto"/>
        <w:tabs>
          <w:tab w:leader="none" w:pos="1302"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fees are payable in cash at the annual meeting of shareholders and are not eligible for deferral into the Deferred Compensation Plan.</w:t>
      </w:r>
    </w:p>
    <w:p>
      <w:pPr>
        <w:spacing w:after="0" w:line="148" w:lineRule="exact"/>
        <w:rPr>
          <w:rFonts w:ascii="Times New Roman" w:cs="Times New Roman" w:eastAsia="Times New Roman" w:hAnsi="Times New Roman"/>
          <w:sz w:val="22"/>
          <w:szCs w:val="22"/>
          <w:color w:val="auto"/>
        </w:rPr>
      </w:pPr>
    </w:p>
    <w:p>
      <w:pPr>
        <w:ind w:left="360" w:hanging="222"/>
        <w:spacing w:after="0"/>
        <w:tabs>
          <w:tab w:leader="none" w:pos="36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Member Fees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Committee Member - $12,000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Member - $9,000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3"/>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Governance Committee Member - $6,000 per year.</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325392505v1</w:t>
      </w:r>
    </w:p>
    <w:p>
      <w:pPr>
        <w:sectPr>
          <w:pgSz w:w="11900" w:h="16838" w:orient="portrait"/>
          <w:cols w:equalWidth="0" w:num="1">
            <w:col w:w="11120"/>
          </w:cols>
          <w:pgMar w:left="320" w:top="1440" w:right="459" w:bottom="1440" w:gutter="0" w:footer="0" w:header="0"/>
          <w:type w:val="continuous"/>
        </w:sectPr>
      </w:pPr>
    </w:p>
    <w:bookmarkStart w:id="130" w:name="page131"/>
    <w:bookmarkEnd w:id="130"/>
    <w:p>
      <w:pPr>
        <w:spacing w:after="0" w:line="202" w:lineRule="exact"/>
        <w:rPr>
          <w:sz w:val="20"/>
          <w:szCs w:val="20"/>
          <w:color w:val="auto"/>
        </w:rPr>
      </w:pPr>
    </w:p>
    <w:p>
      <w:pPr>
        <w:ind w:left="1300" w:hanging="644"/>
        <w:spacing w:after="0"/>
        <w:tabs>
          <w:tab w:leader="none" w:pos="1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member fees are payable to committee members other than the Chair of the committee.</w:t>
      </w:r>
    </w:p>
    <w:p>
      <w:pPr>
        <w:spacing w:after="0" w:line="233" w:lineRule="exact"/>
        <w:rPr>
          <w:rFonts w:ascii="Times New Roman" w:cs="Times New Roman" w:eastAsia="Times New Roman" w:hAnsi="Times New Roman"/>
          <w:sz w:val="22"/>
          <w:szCs w:val="22"/>
          <w:color w:val="auto"/>
        </w:rPr>
      </w:pPr>
    </w:p>
    <w:p>
      <w:pPr>
        <w:ind w:left="660" w:right="280" w:hanging="4"/>
        <w:spacing w:after="0" w:line="269" w:lineRule="auto"/>
        <w:tabs>
          <w:tab w:leader="none" w:pos="130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member fees are payable in cash at the annual meeting of shareholders and are not eligible for deferral into the Deferred Compensation Plan.</w:t>
      </w:r>
    </w:p>
    <w:p>
      <w:pPr>
        <w:spacing w:after="0" w:line="161" w:lineRule="exact"/>
        <w:rPr>
          <w:rFonts w:ascii="Times New Roman" w:cs="Times New Roman" w:eastAsia="Times New Roman" w:hAnsi="Times New Roman"/>
          <w:sz w:val="22"/>
          <w:szCs w:val="22"/>
          <w:color w:val="auto"/>
        </w:rPr>
      </w:pPr>
    </w:p>
    <w:p>
      <w:pPr>
        <w:ind w:left="80" w:hanging="7"/>
        <w:spacing w:after="0" w:line="236" w:lineRule="auto"/>
        <w:tabs>
          <w:tab w:leader="none" w:pos="30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Share Issuance.</w:t>
      </w:r>
      <w:r>
        <w:rPr>
          <w:rFonts w:ascii="Times New Roman" w:cs="Times New Roman" w:eastAsia="Times New Roman" w:hAnsi="Times New Roman"/>
          <w:sz w:val="22"/>
          <w:szCs w:val="22"/>
          <w:color w:val="auto"/>
        </w:rPr>
        <w:t xml:space="preserve"> Upon the earliest of a change in control event (as defined in Treasury Regulation 1.409A-3(i)(5)(i)) or a separation from service (as defined in Treasury Regulation 1.409A-1(h)) (including as a result of death or disability) each non-employee Trustee (or, in the case of separation from service, the Trustee who is the subject of the separation from service) shall be entitled to receive a number of fully-vested common shares having an aggregate value (based on the closing price of the common shares on the trading day immediately prior to the consummation of the change in control event or the separation from service) equal to $115,000 multiplied by a fraction the numerator of which is the number of days that elapsed between the annual meeting of shareholders next preceding the date of consummation of the change in control event or the date of separation from service, as applicable, and the denominator of which is 365.</w:t>
      </w:r>
    </w:p>
    <w:p>
      <w:pPr>
        <w:spacing w:after="0" w:line="196" w:lineRule="exact"/>
        <w:rPr>
          <w:rFonts w:ascii="Times New Roman" w:cs="Times New Roman" w:eastAsia="Times New Roman" w:hAnsi="Times New Roman"/>
          <w:sz w:val="22"/>
          <w:szCs w:val="22"/>
          <w:color w:val="auto"/>
        </w:rPr>
      </w:pPr>
    </w:p>
    <w:p>
      <w:pPr>
        <w:ind w:left="80" w:right="180" w:hanging="7"/>
        <w:spacing w:after="0" w:line="269" w:lineRule="auto"/>
        <w:tabs>
          <w:tab w:leader="none" w:pos="30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Reimbursements</w:t>
      </w:r>
      <w:r>
        <w:rPr>
          <w:rFonts w:ascii="Times New Roman" w:cs="Times New Roman" w:eastAsia="Times New Roman" w:hAnsi="Times New Roman"/>
          <w:sz w:val="22"/>
          <w:szCs w:val="22"/>
          <w:color w:val="auto"/>
        </w:rPr>
        <w:t>. Non-employee Trustees will be reimbursed for the reasonable expenses of attending Board and Committee meetings and continuing education programs for directors.</w:t>
      </w:r>
    </w:p>
    <w:p>
      <w:pPr>
        <w:spacing w:after="0" w:line="161" w:lineRule="exact"/>
        <w:rPr>
          <w:rFonts w:ascii="Times New Roman" w:cs="Times New Roman" w:eastAsia="Times New Roman" w:hAnsi="Times New Roman"/>
          <w:sz w:val="22"/>
          <w:szCs w:val="22"/>
          <w:color w:val="auto"/>
        </w:rPr>
      </w:pPr>
    </w:p>
    <w:p>
      <w:pPr>
        <w:ind w:left="80" w:right="140" w:hanging="7"/>
        <w:spacing w:after="0" w:line="269" w:lineRule="auto"/>
        <w:tabs>
          <w:tab w:leader="none" w:pos="30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of Changes</w:t>
      </w:r>
      <w:r>
        <w:rPr>
          <w:rFonts w:ascii="Times New Roman" w:cs="Times New Roman" w:eastAsia="Times New Roman" w:hAnsi="Times New Roman"/>
          <w:sz w:val="22"/>
          <w:szCs w:val="22"/>
          <w:color w:val="auto"/>
        </w:rPr>
        <w:t>. The changes in this Schedule shall be effective as of the opening of business on the date of the 2025 annual shareholders meeting.</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325392505v1</w:t>
      </w:r>
    </w:p>
    <w:p>
      <w:pPr>
        <w:sectPr>
          <w:pgSz w:w="11900" w:h="16838" w:orient="portrait"/>
          <w:cols w:equalWidth="0" w:num="1">
            <w:col w:w="11080"/>
          </w:cols>
          <w:pgMar w:left="320" w:top="1440" w:right="499" w:bottom="1440" w:gutter="0" w:footer="0" w:header="0"/>
        </w:sectPr>
      </w:pPr>
    </w:p>
    <w:bookmarkStart w:id="131" w:name="page132"/>
    <w:bookmarkEnd w:id="131"/>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Schedule of Non-Employee Trustee Compensation</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(as revised, effective May 28, 2026)</w:t>
      </w:r>
    </w:p>
    <w:p>
      <w:pPr>
        <w:spacing w:after="0" w:line="180"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Fee: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payable at annual meeting of shareholders.</w:t>
      </w:r>
    </w:p>
    <w:p>
      <w:pPr>
        <w:spacing w:after="0" w:line="233" w:lineRule="exact"/>
        <w:rPr>
          <w:rFonts w:ascii="Times New Roman" w:cs="Times New Roman" w:eastAsia="Times New Roman" w:hAnsi="Times New Roman"/>
          <w:sz w:val="22"/>
          <w:szCs w:val="22"/>
          <w:color w:val="auto"/>
        </w:rPr>
      </w:pPr>
    </w:p>
    <w:p>
      <w:pPr>
        <w:ind w:left="660" w:right="60" w:hanging="4"/>
        <w:spacing w:after="0" w:line="282" w:lineRule="auto"/>
        <w:tabs>
          <w:tab w:leader="none" w:pos="130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payable in cash or common shares (valued at closing price on date of annual meeting of shareholders), at the election of each non-employee Trustee.</w:t>
      </w:r>
    </w:p>
    <w:p>
      <w:pPr>
        <w:spacing w:after="0" w:line="12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portion is eligible for deferral into the Deferred Compensation Plan.</w:t>
      </w:r>
    </w:p>
    <w:p>
      <w:pPr>
        <w:spacing w:after="0" w:line="219"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Award:</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$115,000 per year in common shares.</w:t>
      </w:r>
    </w:p>
    <w:p>
      <w:pPr>
        <w:spacing w:after="0" w:line="233" w:lineRule="exact"/>
        <w:rPr>
          <w:rFonts w:ascii="Times New Roman" w:cs="Times New Roman" w:eastAsia="Times New Roman" w:hAnsi="Times New Roman"/>
          <w:sz w:val="22"/>
          <w:szCs w:val="22"/>
          <w:color w:val="auto"/>
        </w:rPr>
      </w:pPr>
    </w:p>
    <w:p>
      <w:pPr>
        <w:ind w:left="660" w:hanging="4"/>
        <w:spacing w:after="0" w:line="282" w:lineRule="auto"/>
        <w:tabs>
          <w:tab w:leader="none" w:pos="130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common shares computed based on closing price of the common shares on date of annual meeting of shareholders and delivered immediately following the meeting date.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fully vested at grant.</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are not eligible for deferral into the Deferred Compensation Plan.</w:t>
      </w:r>
    </w:p>
    <w:p>
      <w:pPr>
        <w:spacing w:after="0" w:line="206"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 Fees:</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Chair - $75,000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Committee Chair - $37,000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Chair - $24,000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Governance Committee Chair - $21,000 per year.</w:t>
      </w:r>
    </w:p>
    <w:p>
      <w:pPr>
        <w:spacing w:after="0" w:line="246" w:lineRule="exact"/>
        <w:rPr>
          <w:rFonts w:ascii="Times New Roman" w:cs="Times New Roman" w:eastAsia="Times New Roman" w:hAnsi="Times New Roman"/>
          <w:sz w:val="22"/>
          <w:szCs w:val="22"/>
          <w:color w:val="auto"/>
        </w:rPr>
      </w:pPr>
    </w:p>
    <w:p>
      <w:pPr>
        <w:ind w:left="660" w:right="120" w:hanging="4"/>
        <w:spacing w:after="0" w:line="269" w:lineRule="auto"/>
        <w:tabs>
          <w:tab w:leader="none" w:pos="130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fees are payable in cash at the annual meeting of shareholders and are not eligible for deferral into the Deferred Compensation Plan.</w:t>
      </w:r>
    </w:p>
    <w:p>
      <w:pPr>
        <w:spacing w:after="0" w:line="148"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Member Fees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Committee Member - $12,000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Member - $9,000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Governance Committee Member - $6,000 per year.</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325392505v2</w:t>
      </w:r>
    </w:p>
    <w:p>
      <w:pPr>
        <w:sectPr>
          <w:pgSz w:w="11900" w:h="16838" w:orient="portrait"/>
          <w:cols w:equalWidth="0" w:num="1">
            <w:col w:w="11120"/>
          </w:cols>
          <w:pgMar w:left="320" w:top="1440" w:right="459" w:bottom="1440" w:gutter="0" w:footer="0" w:header="0"/>
          <w:type w:val="continuous"/>
        </w:sectPr>
      </w:pPr>
    </w:p>
    <w:bookmarkStart w:id="132" w:name="page133"/>
    <w:bookmarkEnd w:id="132"/>
    <w:p>
      <w:pPr>
        <w:spacing w:after="0" w:line="202" w:lineRule="exact"/>
        <w:rPr>
          <w:sz w:val="20"/>
          <w:szCs w:val="20"/>
          <w:color w:val="auto"/>
        </w:rPr>
      </w:pPr>
    </w:p>
    <w:p>
      <w:pPr>
        <w:ind w:left="1300" w:hanging="644"/>
        <w:spacing w:after="0"/>
        <w:tabs>
          <w:tab w:leader="none" w:pos="13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Committee Member - $6,000 per year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member fees are payable to committee members other than the Chair of the committee.</w:t>
      </w:r>
    </w:p>
    <w:p>
      <w:pPr>
        <w:spacing w:after="0" w:line="233" w:lineRule="exact"/>
        <w:rPr>
          <w:rFonts w:ascii="Times New Roman" w:cs="Times New Roman" w:eastAsia="Times New Roman" w:hAnsi="Times New Roman"/>
          <w:sz w:val="22"/>
          <w:szCs w:val="22"/>
          <w:color w:val="auto"/>
        </w:rPr>
      </w:pPr>
    </w:p>
    <w:p>
      <w:pPr>
        <w:ind w:left="660" w:right="380" w:hanging="4"/>
        <w:spacing w:after="0" w:line="269" w:lineRule="auto"/>
        <w:tabs>
          <w:tab w:leader="none" w:pos="130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member fees are payable in cash at the annual meeting of shareholders and are not eligible for deferral into the Deferred Compensation Plan.</w:t>
      </w:r>
    </w:p>
    <w:p>
      <w:pPr>
        <w:spacing w:after="0" w:line="148" w:lineRule="exact"/>
        <w:rPr>
          <w:rFonts w:ascii="Times New Roman" w:cs="Times New Roman" w:eastAsia="Times New Roman" w:hAnsi="Times New Roman"/>
          <w:sz w:val="22"/>
          <w:szCs w:val="22"/>
          <w:color w:val="auto"/>
        </w:rPr>
      </w:pPr>
    </w:p>
    <w:p>
      <w:pPr>
        <w:ind w:firstLine="8"/>
        <w:spacing w:after="0" w:line="241" w:lineRule="auto"/>
        <w:tabs>
          <w:tab w:leader="none" w:pos="6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Share Issuance.</w:t>
      </w:r>
      <w:r>
        <w:rPr>
          <w:rFonts w:ascii="Times New Roman" w:cs="Times New Roman" w:eastAsia="Times New Roman" w:hAnsi="Times New Roman"/>
          <w:sz w:val="22"/>
          <w:szCs w:val="22"/>
          <w:color w:val="auto"/>
        </w:rPr>
        <w:t xml:space="preserve"> Upon the earliest of a change in control event (as defined in Treasury Regulation 1.409A-3(i)(5)(i)) or a separation from service (as defined in Treasury Regulation 1.409A-1(h)) (including as a result of death or disability) each non-employee Trustee (or, in the case of separation from service, the Trustee who is the subject of the separation from service) shall be entitled to receive a number of fully-vested common shares having an aggregate value (based on the closing price of the common shares on the trading day immediately prior to the consummation of the change in control event or the separation from service) equal to $115,000 multiplied by a fraction the numerator of which is the number of days that elapsed between the annual meeting of shareholders next preceding the date of consummation of the change in control event or the date of separation from service, as applicable, and the denominator of which is 365.</w:t>
      </w:r>
    </w:p>
    <w:p>
      <w:pPr>
        <w:spacing w:after="0" w:line="181" w:lineRule="exact"/>
        <w:rPr>
          <w:rFonts w:ascii="Times New Roman" w:cs="Times New Roman" w:eastAsia="Times New Roman" w:hAnsi="Times New Roman"/>
          <w:sz w:val="22"/>
          <w:szCs w:val="22"/>
          <w:color w:val="auto"/>
        </w:rPr>
      </w:pPr>
    </w:p>
    <w:p>
      <w:pPr>
        <w:ind w:right="520" w:firstLine="8"/>
        <w:spacing w:after="0" w:line="282" w:lineRule="auto"/>
        <w:tabs>
          <w:tab w:leader="none" w:pos="6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Reimbursements</w:t>
      </w:r>
      <w:r>
        <w:rPr>
          <w:rFonts w:ascii="Times New Roman" w:cs="Times New Roman" w:eastAsia="Times New Roman" w:hAnsi="Times New Roman"/>
          <w:sz w:val="22"/>
          <w:szCs w:val="22"/>
          <w:color w:val="auto"/>
        </w:rPr>
        <w:t>. Non-employee Trustees will be reimbursed for the reasonable expenses of attending Board and Committee meetings and continuing education programs for directors.</w:t>
      </w:r>
    </w:p>
    <w:p>
      <w:pPr>
        <w:spacing w:after="0" w:line="121" w:lineRule="exact"/>
        <w:rPr>
          <w:rFonts w:ascii="Times New Roman" w:cs="Times New Roman" w:eastAsia="Times New Roman" w:hAnsi="Times New Roman"/>
          <w:sz w:val="22"/>
          <w:szCs w:val="22"/>
          <w:color w:val="auto"/>
        </w:rPr>
      </w:pPr>
    </w:p>
    <w:p>
      <w:pPr>
        <w:ind w:right="140" w:firstLine="8"/>
        <w:spacing w:after="0" w:line="282" w:lineRule="auto"/>
        <w:tabs>
          <w:tab w:leader="none" w:pos="6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of Changes</w:t>
      </w:r>
      <w:r>
        <w:rPr>
          <w:rFonts w:ascii="Times New Roman" w:cs="Times New Roman" w:eastAsia="Times New Roman" w:hAnsi="Times New Roman"/>
          <w:sz w:val="22"/>
          <w:szCs w:val="22"/>
          <w:color w:val="auto"/>
        </w:rPr>
        <w:t>. The changes in this Schedule shall be effective as of the opening of business on the date of the 2026 annual shareholders meeting.</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325392505v2</w:t>
      </w:r>
    </w:p>
    <w:p>
      <w:pPr>
        <w:sectPr>
          <w:pgSz w:w="11900" w:h="16838" w:orient="portrait"/>
          <w:cols w:equalWidth="0" w:num="1">
            <w:col w:w="11180"/>
          </w:cols>
          <w:pgMar w:left="320" w:top="1440" w:right="3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List of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AAPOP 2,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250 King of Prussia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250 King of Prussia 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Four Points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Four Points Land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Four Points Preserve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BDNNOVA Momentum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Quarry Lake 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Radnor Property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Radnor Property 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Real Estate Fund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Bellet Holding GP,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Acquisition Partners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Austin Properties I LP, a Texas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Byberry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Garage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South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Walnut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Commerce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Commerce 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F.C.,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Garza Office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Garza Office 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Garza Office III,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Grande C, L.P., a Delaware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#113643432 v1</w:t>
      </w:r>
    </w:p>
    <w:p>
      <w:pPr>
        <w:sectPr>
          <w:pgSz w:w="11900" w:h="16838" w:orient="portrait"/>
          <w:cols w:equalWidth="0" w:num="1">
            <w:col w:w="11240"/>
          </w:cols>
          <w:pgMar w:left="320" w:top="94" w:right="3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1240"/>
          </w:cols>
          <w:pgMar w:left="320" w:top="94"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Brandywine Greensboro Drive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International Drive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Industrial Partnership,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Metroplex,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Midatlantic,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Office Investors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Operating Partnership,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Opportunity Fund,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P.M.,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Properties Management LP, a Texas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Florig,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I,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II,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VI,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VII,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145 King of Prussia,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3001-3003 JFK,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3001-3003 JFK 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3025 JFK,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3025 Market,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3151 Market,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3151 Venture,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Chase Uptown West Property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Cira Square Owner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Cira Square PO LP, a Delaware limited partnership</w:t>
      </w:r>
    </w:p>
    <w:p>
      <w:pPr>
        <w:spacing w:after="0" w:line="179" w:lineRule="exact"/>
        <w:rPr>
          <w:sz w:val="20"/>
          <w:szCs w:val="20"/>
          <w:color w:val="auto"/>
        </w:rPr>
      </w:pPr>
    </w:p>
    <w:p>
      <w:pPr>
        <w:ind w:right="2719"/>
        <w:spacing w:after="0" w:line="437" w:lineRule="auto"/>
        <w:rPr>
          <w:sz w:val="20"/>
          <w:szCs w:val="20"/>
          <w:color w:val="auto"/>
        </w:rPr>
      </w:pPr>
      <w:r>
        <w:rPr>
          <w:rFonts w:ascii="Times New Roman" w:cs="Times New Roman" w:eastAsia="Times New Roman" w:hAnsi="Times New Roman"/>
          <w:sz w:val="22"/>
          <w:szCs w:val="22"/>
          <w:color w:val="auto"/>
        </w:rPr>
        <w:t>Commerce Square Partners – Philadelphia Plaza, L.P., a Delaware limited partnership Concord Airport Plaza Associates, LP, a California limited partnership</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Cooperative Way Metro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Five/Oliver Brandywine Partner,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Four Tower Bridge Associates,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Barton Creek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Barton Skyway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Cielo,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Encino Trace 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Encino Trace II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Four Points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Lantana,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River Place LP, a Delaware limited partnership</w:t>
      </w:r>
    </w:p>
    <w:p>
      <w:pPr>
        <w:spacing w:after="0" w:line="179" w:lineRule="exact"/>
        <w:rPr>
          <w:sz w:val="20"/>
          <w:szCs w:val="20"/>
          <w:color w:val="auto"/>
        </w:rPr>
      </w:pPr>
    </w:p>
    <w:p>
      <w:pPr>
        <w:ind w:right="4199"/>
        <w:spacing w:after="0" w:line="429" w:lineRule="auto"/>
        <w:rPr>
          <w:sz w:val="20"/>
          <w:szCs w:val="20"/>
          <w:color w:val="auto"/>
        </w:rPr>
      </w:pPr>
      <w:r>
        <w:rPr>
          <w:rFonts w:ascii="Times New Roman" w:cs="Times New Roman" w:eastAsia="Times New Roman" w:hAnsi="Times New Roman"/>
          <w:sz w:val="21"/>
          <w:szCs w:val="21"/>
          <w:color w:val="auto"/>
        </w:rPr>
        <w:t>Iron Run Limited Partnership V, a Pennsylvania Limited Partnership Newtech IV Limited Partnership, a Pennsylvania limited partnership New Two Logan, LP, a Pennsylvania limited partnership OLS Office Partners, L.P., a Delaware limited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One Rockledge Associates Limited Partnership, a Massachusetts limited partnership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Uptown Multifamily Property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Uptown Office Property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Plaza – Phase II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Center Associates, a Pennsylvania limited partnership</w:t>
      </w:r>
    </w:p>
    <w:p>
      <w:pPr>
        <w:spacing w:after="0" w:line="179" w:lineRule="exact"/>
        <w:rPr>
          <w:sz w:val="20"/>
          <w:szCs w:val="20"/>
          <w:color w:val="auto"/>
        </w:rPr>
      </w:pPr>
    </w:p>
    <w:p>
      <w:pPr>
        <w:ind w:right="3819"/>
        <w:spacing w:after="0" w:line="429" w:lineRule="auto"/>
        <w:rPr>
          <w:sz w:val="20"/>
          <w:szCs w:val="20"/>
          <w:color w:val="auto"/>
        </w:rPr>
      </w:pPr>
      <w:r>
        <w:rPr>
          <w:rFonts w:ascii="Times New Roman" w:cs="Times New Roman" w:eastAsia="Times New Roman" w:hAnsi="Times New Roman"/>
          <w:sz w:val="21"/>
          <w:szCs w:val="21"/>
          <w:color w:val="auto"/>
        </w:rPr>
        <w:t>Radnor Properties Associates-II, L.P., a Pennsylvania limited partnership Radnor Properties-SDC, L.P., a Delaware limited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Properties-200 RC Holdings,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Properties-200 RC,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Properties-201 KOP,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Properties-555 LA,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Two Logan Holdings LP, a Pennsylvania limited partnership</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36" w:name="page137"/>
    <w:bookmarkEnd w:id="136"/>
    <w:p>
      <w:pPr>
        <w:ind w:right="4179"/>
        <w:spacing w:after="0" w:line="409" w:lineRule="auto"/>
        <w:rPr>
          <w:sz w:val="20"/>
          <w:szCs w:val="20"/>
          <w:color w:val="auto"/>
        </w:rPr>
      </w:pPr>
      <w:r>
        <w:rPr>
          <w:rFonts w:ascii="Times New Roman" w:cs="Times New Roman" w:eastAsia="Times New Roman" w:hAnsi="Times New Roman"/>
          <w:sz w:val="22"/>
          <w:szCs w:val="22"/>
          <w:color w:val="auto"/>
        </w:rPr>
        <w:t>Two Logan Square Associates, a Pennsylvania limited partnership Tower Bridge Inn Associates, a Pennsylvania limited partnership Witmer Operating Partnership I, L.P., a Delaware limited partnership 405 Colorado Holdings LP, a Delaware limited partnership 618 Market Street LP, a Delaware limited partnership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 Market Street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2928 Walton Road LP,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Market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3020 Market Holding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3020 Market Operating LP, a Delaware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Interstate Center Associates, a Virginia general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Plymouth TFC, General Partnership, a Pennsylvania general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Management Inc.,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Holdings, I, Inc., a Pennsylvania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Properties I Limited Inc.,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Realty Services Corporation, a Pennsylvania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Resources I Inc.,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Southpoint Land Holdings, Inc., a Pennsylvania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BAA Multifamily Member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BAA Office Member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BAA Uptown West Member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250 King of Prussia II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BDN 250 King of Prussia Holding Company,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3025 JFK Development,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Austin Properties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Austin Properties II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Brokerage LLC, a Pennsylvania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BDN Cira Labs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Cira Square Sub 1,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Cira Square Sub Manager,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Four Points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Four Points Land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Four Points Land 2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Four Points Preserve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GC Services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GP Real Estate Fund 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Investment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Lending,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LS Investments,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Management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 Mezz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 Sub 1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 Sub 2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III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III Mezz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III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III Sub 1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Metroplex III Sub 2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BDN Millennium Holding Company,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NoMA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Properties 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Quarry Lake II GP,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BDN Radnor Holding Company,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Radnor Property II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SY Hospitality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Uptown Office Developer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BDN-West Elm Holding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BDNSY Mezz Sub,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500 North Gulph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500 North Gulph Mezz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500 North Gulph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500 North Gulph Sub 1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500 North Gulph Sub 2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933 First Avenue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933 First Avenue Mezz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933 First Avenue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933 First Avenue Sub 1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933 First Avenue Sub 2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1900 Market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1900 Market Mezz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1900 Market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1900 Market Sub 1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1900 Market Sub 2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Bellet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Bellet,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Austin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Austin 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Austin Properties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Brandywine Brokerage Services, LLC, A New Jersey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Brandywine Byberry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Byberry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Byberry Sub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Calverton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Chase Uptown West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Brokerage LLC, d Delaware limited liability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Garage LLC, a Delaware limited liability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Garage Holding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Brandywine Cira Garage Holding MM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South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Cira Walnut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Commerce I GP LLC, a Delaware limited liability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Commerce II GP LLC, a Delaware limited liability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Continental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Dabney,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F.C.,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Garza,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Garza Office I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Garza Office II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Garza Office III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Gibbsboro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Grande C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Interstate 50,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Lake Merritt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Lender,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 Main Street,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1"/>
          <w:szCs w:val="21"/>
          <w:color w:val="auto"/>
        </w:rPr>
        <w:t>Brandywine Management Holdings II,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MD Discovery District,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Metroplex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Midatlantic,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One Logan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One Rodney Square,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Brandywine One Uptown Multifamily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One Uptown Office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P.M.,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Piazza, L.L.C., a New Jersey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Plaza 1000, L.L.C., a New Jersey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Promenade, L.L.C., a New Jersey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Radnor 200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Radnor Center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Research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Florig,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I,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II GP,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VI,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TB VII,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Tysons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Witmer,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55 US Avenue LLC, a New Jersey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300 Delaware,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2201 Co-Way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2201 Co-Way II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3001 Market,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Brandywine 3001-3003 HoldCo,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3001-3003 JFK II,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3025 JFK II,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3025 JFK II REIT,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Brandywine 3025 JFK Holdings II,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Brandywine 3025 Market Holdings,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3151 Market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3151 Market REIT,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BRE/Logan 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BRE/Logan II,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BRE/Logan III,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Chase Uptown West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Chestnut Venture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Cira Square, LLC, a Delaware limited liability company</w:t>
      </w:r>
    </w:p>
    <w:p>
      <w:pPr>
        <w:spacing w:after="0" w:line="179" w:lineRule="exact"/>
        <w:rPr>
          <w:sz w:val="20"/>
          <w:szCs w:val="20"/>
          <w:color w:val="auto"/>
        </w:rPr>
      </w:pPr>
    </w:p>
    <w:p>
      <w:pPr>
        <w:ind w:right="4279"/>
        <w:spacing w:after="0" w:line="429" w:lineRule="auto"/>
        <w:rPr>
          <w:sz w:val="20"/>
          <w:szCs w:val="20"/>
          <w:color w:val="auto"/>
        </w:rPr>
      </w:pPr>
      <w:r>
        <w:rPr>
          <w:rFonts w:ascii="Times New Roman" w:cs="Times New Roman" w:eastAsia="Times New Roman" w:hAnsi="Times New Roman"/>
          <w:sz w:val="21"/>
          <w:szCs w:val="21"/>
          <w:color w:val="auto"/>
        </w:rPr>
        <w:t>Cira Square G Member, LLC, a Delaware limited liability company Cira Square GP, LLC, a Delaware limited liability company</w:t>
      </w:r>
    </w:p>
    <w:p>
      <w:pPr>
        <w:spacing w:after="0" w:line="1" w:lineRule="exact"/>
        <w:rPr>
          <w:sz w:val="20"/>
          <w:szCs w:val="20"/>
          <w:color w:val="auto"/>
        </w:rPr>
      </w:pPr>
    </w:p>
    <w:p>
      <w:pPr>
        <w:ind w:right="4019"/>
        <w:spacing w:after="0" w:line="429" w:lineRule="auto"/>
        <w:rPr>
          <w:sz w:val="20"/>
          <w:szCs w:val="20"/>
          <w:color w:val="auto"/>
        </w:rPr>
      </w:pPr>
      <w:r>
        <w:rPr>
          <w:rFonts w:ascii="Times New Roman" w:cs="Times New Roman" w:eastAsia="Times New Roman" w:hAnsi="Times New Roman"/>
          <w:sz w:val="21"/>
          <w:szCs w:val="21"/>
          <w:color w:val="auto"/>
        </w:rPr>
        <w:t>Cira Square Master Tenant LLC, a Delaware limited liability company Cira Square PO LP LLC, a Delaware limited liability company</w:t>
      </w:r>
    </w:p>
    <w:p>
      <w:pPr>
        <w:spacing w:after="0" w:line="1" w:lineRule="exact"/>
        <w:rPr>
          <w:sz w:val="20"/>
          <w:szCs w:val="20"/>
          <w:color w:val="auto"/>
        </w:rPr>
      </w:pPr>
    </w:p>
    <w:p>
      <w:pPr>
        <w:ind w:right="4679"/>
        <w:spacing w:after="0" w:line="429" w:lineRule="auto"/>
        <w:rPr>
          <w:sz w:val="20"/>
          <w:szCs w:val="20"/>
          <w:color w:val="auto"/>
        </w:rPr>
      </w:pPr>
      <w:r>
        <w:rPr>
          <w:rFonts w:ascii="Times New Roman" w:cs="Times New Roman" w:eastAsia="Times New Roman" w:hAnsi="Times New Roman"/>
          <w:sz w:val="21"/>
          <w:szCs w:val="21"/>
          <w:color w:val="auto"/>
        </w:rPr>
        <w:t>Cira Square REIT, LLC, a Delaware limited liability company Cira Square TopCo LLC, a Delaware limited liability company Cira Square TRS LLC, a Delaware limited liability company Cira Square II, LLC, a Delaware limited liability company Cira Square III, LLC, a Delaware limited liability company Cira Square IV, LLC, a Delaware limited liability company e-Tenants LLC, a Delaware limited liability company</w:t>
      </w:r>
    </w:p>
    <w:p>
      <w:pPr>
        <w:spacing w:after="0" w:line="2" w:lineRule="exact"/>
        <w:rPr>
          <w:sz w:val="20"/>
          <w:szCs w:val="20"/>
          <w:color w:val="auto"/>
        </w:rPr>
      </w:pPr>
    </w:p>
    <w:p>
      <w:pPr>
        <w:ind w:right="3919"/>
        <w:spacing w:after="0" w:line="470" w:lineRule="auto"/>
        <w:rPr>
          <w:sz w:val="20"/>
          <w:szCs w:val="20"/>
          <w:color w:val="auto"/>
        </w:rPr>
      </w:pPr>
      <w:r>
        <w:rPr>
          <w:rFonts w:ascii="Times New Roman" w:cs="Times New Roman" w:eastAsia="Times New Roman" w:hAnsi="Times New Roman"/>
          <w:sz w:val="21"/>
          <w:szCs w:val="21"/>
          <w:color w:val="auto"/>
        </w:rPr>
        <w:t>G&amp;I VI 7150 Windsor MZ LLC, a Delaware limited liability company G&amp;I VI 7310 Tilghman MZ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G&amp;I VI 7310 Tilghman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7248 Tilghman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7248 Tilghman LP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6575 Snowdrift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6575 Snowdrift LP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7350 Tilghman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G&amp;I VI 655/755 Business Center MZ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G&amp;I VI 655/755 Business Center FE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1155 Business Center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1155 Business Center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G&amp;I VI 700/800 Business Center MZ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G&amp;I VI 700/800 Business Center FE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630 Dresher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630 Dresher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650 Dresher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650 Dresher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300 Welsh 1/2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300 Welsh 1/2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One Greenwood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One Greenwood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Two Greenwood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Two Greenwood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Three Greenwood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Three Greenwood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500 Office Center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500 Office Center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501 Office Center MZ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color w:val="auto"/>
        </w:rPr>
        <w:t>G&amp;I VI 501 Office Center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G&amp;I VI 321/323 Norristown MZ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G&amp;I VI 321/323 Norristown FE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220 Commerce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220 Commerce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520 Virginia MZ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520 Virginia FE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Interchange Office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Austin Office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Barton Creek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Barton Skyway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Cielo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Encino Trace I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Encino Trace II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Four Points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Lantana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River Place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HSRE-BDN I,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MAP Ground Lease Venture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MAP Mezzanine Borrower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MAP Ground Lease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Mid-Atlantic Property Holdings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Two Logan GP, LLC, a Pennsylvania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OCS Sub,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OCS/TCS Services,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OCS TRS,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Commerce Square REIT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One Uptown Multifamily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Uptown Office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PA-MD NNN Berwyn Park,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PA-MD NNN Office JV,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PA-MD NNN Office Mezz,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PA-MD NNN Office Research,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PA-MD NNN Office Southpoint,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GP-SDC,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GP-200 RC,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GP-201 KOP,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Radnor GP-555 LA,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PJP Building Six, L.C., a Virginia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TCS Sub,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TCS TRS, LLC, a Delaware limited liability company</w:t>
      </w:r>
    </w:p>
    <w:p>
      <w:pPr>
        <w:spacing w:after="0" w:line="179" w:lineRule="exact"/>
        <w:rPr>
          <w:sz w:val="20"/>
          <w:szCs w:val="20"/>
          <w:color w:val="auto"/>
        </w:rPr>
      </w:pPr>
    </w:p>
    <w:p>
      <w:pPr>
        <w:ind w:right="3779"/>
        <w:spacing w:after="0" w:line="409" w:lineRule="auto"/>
        <w:rPr>
          <w:sz w:val="20"/>
          <w:szCs w:val="20"/>
          <w:color w:val="auto"/>
        </w:rPr>
      </w:pPr>
      <w:r>
        <w:rPr>
          <w:rFonts w:ascii="Times New Roman" w:cs="Times New Roman" w:eastAsia="Times New Roman" w:hAnsi="Times New Roman"/>
          <w:sz w:val="22"/>
          <w:szCs w:val="22"/>
          <w:color w:val="auto"/>
        </w:rPr>
        <w:t>Two Commerce Square REIT LLC, a Delaware limited liability company Walnut Street Hospitality LLC, a Delaware limited liability company 3 Logan LLC, a Delaware limited liability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Radnor Hotel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Radnor Hotel Holdco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405 Colorado Holdings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618 Market Holdco General Partner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 Market Mezz Holdco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2100 Market Holdco General Partner LLC, a Delaware limited liability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 Market Mezz Holdco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2251 Corporate Park Metro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2291 Wood Oak Metro Owner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2411 Dulles Corner Metro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2355 Dulles Corner Metro Owner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2928 Walton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Market Mezz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Market Mezz Holdco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Market Holdco General Partner,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3020 Market Holding GP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3025 Food Hall LL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3025 JFK TRS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4040 LLC, a Virginia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4040 Wilson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N 50 Patterson Holdings, L.L.C., a Delaware limited liability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N 50 Patterson Corporate Member, L.L.C., a Delaware limited liability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13880 Dulles Corner Metro Owner LLC, a Delaware limited liability company</w:t>
      </w:r>
    </w:p>
    <w:p>
      <w:pPr>
        <w:spacing w:after="0" w:line="179" w:lineRule="exact"/>
        <w:rPr>
          <w:sz w:val="20"/>
          <w:szCs w:val="20"/>
          <w:color w:val="auto"/>
        </w:rPr>
      </w:pPr>
    </w:p>
    <w:p>
      <w:pPr>
        <w:ind w:right="3279"/>
        <w:spacing w:after="0" w:line="409" w:lineRule="auto"/>
        <w:rPr>
          <w:sz w:val="20"/>
          <w:szCs w:val="20"/>
          <w:color w:val="auto"/>
        </w:rPr>
      </w:pPr>
      <w:r>
        <w:rPr>
          <w:rFonts w:ascii="Times New Roman" w:cs="Times New Roman" w:eastAsia="Times New Roman" w:hAnsi="Times New Roman"/>
          <w:sz w:val="22"/>
          <w:szCs w:val="22"/>
          <w:color w:val="auto"/>
        </w:rPr>
        <w:t>13825 Sunrise Valley Metro Owner LLC, a Delaware limited liability company 1000 Chesterbrook Boulevard Partnership, a Pennsylvania general partnership Atlantic American Properties Trust, a Maryland real estate investment trust Brandywine Capital Trust I, a Delaware statutory trust Brandywine Capital Trust II, a Delaware statutory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Broadmoor Austin Associates, a Texas joint venture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Coppel Associates, a Texas joint venture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Seven Tower Bridge Associates, a Pennsylvania limited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 AI Venture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 Interchange Office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G&amp;I VII Austin Office LLC, a Delaware limited liability company</w:t>
      </w:r>
    </w:p>
    <w:p>
      <w:pPr>
        <w:spacing w:after="0" w:line="179" w:lineRule="exact"/>
        <w:rPr>
          <w:sz w:val="20"/>
          <w:szCs w:val="20"/>
          <w:color w:val="auto"/>
        </w:rPr>
      </w:pPr>
    </w:p>
    <w:p>
      <w:pPr>
        <w:ind w:right="1839"/>
        <w:spacing w:after="0" w:line="437" w:lineRule="auto"/>
        <w:rPr>
          <w:sz w:val="20"/>
          <w:szCs w:val="20"/>
          <w:color w:val="auto"/>
        </w:rPr>
      </w:pPr>
      <w:r>
        <w:rPr>
          <w:rFonts w:ascii="Times New Roman" w:cs="Times New Roman" w:eastAsia="Times New Roman" w:hAnsi="Times New Roman"/>
          <w:sz w:val="22"/>
          <w:szCs w:val="22"/>
          <w:color w:val="auto"/>
        </w:rPr>
        <w:t>Herndon Innovation Center Metro Portfolio Venture LLC, a Delaware limited liability company Iron Run Venture II LLC, a Delaware limited liability company</w:t>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1"/>
          <w:szCs w:val="21"/>
          <w:color w:val="auto"/>
        </w:rPr>
        <w:t>One Rockledge Associates Limited Partnership, a Massachusetts limited partnership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BDN Logan Food Service TRS,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3025 JFK B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3151 Market B,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168677653v2</w:t>
      </w:r>
    </w:p>
    <w:p>
      <w:pPr>
        <w:sectPr>
          <w:pgSz w:w="11900" w:h="16838" w:orient="portrait"/>
          <w:cols w:equalWidth="0" w:num="1">
            <w:col w:w="10139"/>
          </w:cols>
          <w:pgMar w:left="320" w:top="1394"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56" w:lineRule="exact"/>
        <w:rPr>
          <w:sz w:val="20"/>
          <w:szCs w:val="20"/>
          <w:color w:val="auto"/>
        </w:rPr>
      </w:pPr>
    </w:p>
    <w:p>
      <w:pPr>
        <w:ind w:right="4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333-270133, 333-158590, 333-52952) and on Form S-8 (Nos. 333-14243, 333-28427, 333-52957, 333-123446, 333-125311, 333-131171, 333-141906, 333-142752, 333-142754, 333-167266, 333-218117, 333-272194, 333-287716) of Brandywine Realty Trust of our report dated February 23, 2026 relating to the financial statements, financial statement schedules and the effectiveness of internal control over financial reporting, which appears in this Form 10-K.</w:t>
      </w:r>
    </w:p>
    <w:p>
      <w:pPr>
        <w:spacing w:after="0" w:line="35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Philadelphia, Pennsylvania</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23, 2026</w:t>
      </w:r>
    </w:p>
    <w:p>
      <w:pPr>
        <w:sectPr>
          <w:pgSz w:w="11900" w:h="16838" w:orient="portrait"/>
          <w:cols w:equalWidth="0" w:num="1">
            <w:col w:w="11240"/>
          </w:cols>
          <w:pgMar w:left="320" w:top="12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56" w:lineRule="exact"/>
        <w:rPr>
          <w:sz w:val="20"/>
          <w:szCs w:val="20"/>
          <w:color w:val="auto"/>
        </w:rPr>
      </w:pPr>
    </w:p>
    <w:p>
      <w:pPr>
        <w:ind w:right="8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 on Form S-3 (No. 333-270133-01) of Brandywine Operating Partnership, L.P. of our report dated February 23, 2026 relating to the financial statements, financial statement schedules and the effectiveness of internal control over financial reporting, which appears in this Form 10-K.</w:t>
      </w:r>
    </w:p>
    <w:p>
      <w:pPr>
        <w:spacing w:after="0" w:line="35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Philadelphia, Pennsylvania</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23, 2026</w:t>
      </w:r>
    </w:p>
    <w:p>
      <w:pPr>
        <w:sectPr>
          <w:pgSz w:w="11900" w:h="16838" w:orient="portrait"/>
          <w:cols w:equalWidth="0" w:num="1">
            <w:col w:w="11240"/>
          </w:cols>
          <w:pgMar w:left="320" w:top="12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H. Sweeney, certify that:</w:t>
      </w:r>
    </w:p>
    <w:p>
      <w:pPr>
        <w:spacing w:after="0" w:line="185" w:lineRule="exact"/>
        <w:rPr>
          <w:sz w:val="20"/>
          <w:szCs w:val="20"/>
          <w:color w:val="auto"/>
        </w:rPr>
      </w:pPr>
    </w:p>
    <w:p>
      <w:pPr>
        <w:ind w:left="820" w:hanging="812"/>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Brandywine Realty Trust;</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February 23, 2026</w:t>
      </w:r>
      <w:r>
        <w:rPr>
          <w:sz w:val="20"/>
          <w:szCs w:val="20"/>
          <w:color w:val="auto"/>
        </w:rPr>
        <w:tab/>
      </w:r>
      <w:r>
        <w:rPr>
          <w:rFonts w:ascii="Times New Roman" w:cs="Times New Roman" w:eastAsia="Times New Roman" w:hAnsi="Times New Roman"/>
          <w:sz w:val="17"/>
          <w:szCs w:val="17"/>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62"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Wirth, certify that:</w:t>
      </w:r>
    </w:p>
    <w:p>
      <w:pPr>
        <w:spacing w:after="0" w:line="185" w:lineRule="exact"/>
        <w:rPr>
          <w:sz w:val="20"/>
          <w:szCs w:val="20"/>
          <w:color w:val="auto"/>
        </w:rPr>
      </w:pPr>
    </w:p>
    <w:p>
      <w:pPr>
        <w:ind w:left="820" w:hanging="812"/>
        <w:spacing w:after="0"/>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Brandywine Realty Trust;</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February 23, 2026</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Thomas E. Wirth</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1062"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H. Sweeney, certify that:</w:t>
      </w:r>
    </w:p>
    <w:p>
      <w:pPr>
        <w:spacing w:after="0" w:line="185" w:lineRule="exact"/>
        <w:rPr>
          <w:sz w:val="20"/>
          <w:szCs w:val="20"/>
          <w:color w:val="auto"/>
        </w:rPr>
      </w:pPr>
    </w:p>
    <w:p>
      <w:pPr>
        <w:ind w:left="820" w:hanging="812"/>
        <w:spacing w:after="0"/>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Brandywine Operating Partnership, L.P.;</w:t>
      </w:r>
    </w:p>
    <w:p>
      <w:pPr>
        <w:spacing w:after="0" w:line="184"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H. Sweeney</w:t>
            </w:r>
          </w:p>
        </w:tc>
      </w:tr>
      <w:tr>
        <w:trPr>
          <w:trHeight w:val="218"/>
        </w:trPr>
        <w:tc>
          <w:tcPr>
            <w:tcW w:w="6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Gerard H. Sweeney</w:t>
            </w:r>
          </w:p>
        </w:tc>
      </w:tr>
      <w:tr>
        <w:trPr>
          <w:trHeight w:val="234"/>
        </w:trPr>
        <w:tc>
          <w:tcPr>
            <w:tcW w:w="6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Wirth, certify that:</w:t>
      </w:r>
    </w:p>
    <w:p>
      <w:pPr>
        <w:spacing w:after="0" w:line="166" w:lineRule="exact"/>
        <w:rPr>
          <w:sz w:val="20"/>
          <w:szCs w:val="20"/>
          <w:color w:val="auto"/>
        </w:rPr>
      </w:pPr>
    </w:p>
    <w:p>
      <w:pPr>
        <w:ind w:left="820" w:hanging="812"/>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Brandywine Operating Partnership, L.P.;</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 Wirth</w:t>
            </w:r>
          </w:p>
        </w:tc>
      </w:tr>
      <w:tr>
        <w:trPr>
          <w:trHeight w:val="218"/>
        </w:trPr>
        <w:tc>
          <w:tcPr>
            <w:tcW w:w="6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Thomas E. Wirth</w:t>
            </w:r>
          </w:p>
        </w:tc>
      </w:tr>
      <w:tr>
        <w:trPr>
          <w:trHeight w:val="234"/>
        </w:trPr>
        <w:tc>
          <w:tcPr>
            <w:tcW w:w="6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Brandywine Realty Trust (the “Company”) on Form 10-K for the year ended December 31, 2025 as filed with the Securities and Exchange Commission on the date hereof (the “Report”), I, Gerard H. Sweeney, President and Chief Executive Officer of the Company, certify, pursuant to 18 U.S.C. Section 1350, as adopted pursuant to Section 906 of the Sarbanes-Oxley Act of 2002, that:</w:t>
      </w:r>
    </w:p>
    <w:p>
      <w:pPr>
        <w:spacing w:after="0" w:line="135" w:lineRule="exact"/>
        <w:rPr>
          <w:sz w:val="20"/>
          <w:szCs w:val="20"/>
          <w:color w:val="auto"/>
        </w:rPr>
      </w:pPr>
    </w:p>
    <w:p>
      <w:pPr>
        <w:ind w:left="820" w:hanging="812"/>
        <w:spacing w:after="0"/>
        <w:tabs>
          <w:tab w:leader="none" w:pos="8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74" w:lineRule="exact"/>
        <w:rPr>
          <w:sz w:val="20"/>
          <w:szCs w:val="20"/>
          <w:color w:val="auto"/>
        </w:rPr>
      </w:pPr>
    </w:p>
    <w:p>
      <w:pPr>
        <w:ind w:right="280" w:firstLine="8"/>
        <w:spacing w:after="0" w:line="282" w:lineRule="auto"/>
        <w:tabs>
          <w:tab w:leader="none" w:pos="1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Brandywine Realty Trust (the “Company”) on Form 10-K for the year ended December 31, 2025 as filed with the Securities and Exchange Commission on the date hereof (the “Report”), I, Thomas E. Wirth, Executive Vice President and Chief Financial Officer of the Company, certify, pursuant to 18 U.S.C. Section 1350, as adopted pursuant to Section 906 of the Sarbanes-Oxley Act of 2002, that:</w:t>
      </w:r>
    </w:p>
    <w:p>
      <w:pPr>
        <w:spacing w:after="0" w:line="135" w:lineRule="exact"/>
        <w:rPr>
          <w:sz w:val="20"/>
          <w:szCs w:val="20"/>
          <w:color w:val="auto"/>
        </w:rPr>
      </w:pPr>
    </w:p>
    <w:p>
      <w:pPr>
        <w:ind w:left="820" w:hanging="812"/>
        <w:spacing w:after="0"/>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E. Wirth</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74" w:lineRule="exact"/>
        <w:rPr>
          <w:sz w:val="20"/>
          <w:szCs w:val="20"/>
          <w:color w:val="auto"/>
        </w:rPr>
      </w:pPr>
    </w:p>
    <w:p>
      <w:pPr>
        <w:ind w:right="280" w:firstLine="8"/>
        <w:spacing w:after="0" w:line="282" w:lineRule="auto"/>
        <w:tabs>
          <w:tab w:leader="none" w:pos="1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Brandywine Operating Partnership, L.P. (the “Partnership”) on Form 10-K for the year ended December 31, 2025 as filed with the Securities and Exchange Commission on the date hereof (the “Report”), I, Gerard H. Sweeney, President and Chief Executive Officer of Brandywine Realty Trust, the Partnership's sole general partner, certify, pursuant to 18 U.S.C. Section 1350, as adopted pursuant to Section 906 of the Sarbanes-Oxley Act of 2002, that:</w:t>
      </w:r>
    </w:p>
    <w:p>
      <w:pPr>
        <w:spacing w:after="0" w:line="139" w:lineRule="exact"/>
        <w:rPr>
          <w:sz w:val="20"/>
          <w:szCs w:val="20"/>
          <w:color w:val="auto"/>
        </w:rPr>
      </w:pPr>
    </w:p>
    <w:p>
      <w:pPr>
        <w:ind w:left="820" w:hanging="812"/>
        <w:spacing w:after="0"/>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84"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04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74" w:lineRule="exact"/>
        <w:rPr>
          <w:sz w:val="20"/>
          <w:szCs w:val="20"/>
          <w:color w:val="auto"/>
        </w:rPr>
      </w:pPr>
    </w:p>
    <w:p>
      <w:pPr>
        <w:ind w:right="280" w:firstLine="8"/>
        <w:spacing w:after="0" w:line="282" w:lineRule="auto"/>
        <w:tabs>
          <w:tab w:leader="none" w:pos="1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Brandywine Operating Partnership, L.P. (the “Partnership”) on Form 10-K for the year ended December 31, 2025 as filed with the Securities and Exchange Commission on the date hereof (the “Report”), I, Thomas E. Wirth, Executive Vice President and Chief Financial Officer of Brandywine Realty Trust, the Partnership's sole general partner, certify, pursuant to 18 U.S.C. Section 1350, as adopted pursuant to Section 906 of the Sarbanes-Oxley Act of 2002, that:</w:t>
      </w:r>
    </w:p>
    <w:p>
      <w:pPr>
        <w:spacing w:after="0" w:line="139" w:lineRule="exact"/>
        <w:rPr>
          <w:sz w:val="20"/>
          <w:szCs w:val="20"/>
          <w:color w:val="auto"/>
        </w:rPr>
      </w:pPr>
    </w:p>
    <w:p>
      <w:pPr>
        <w:ind w:left="820" w:hanging="812"/>
        <w:spacing w:after="0"/>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84"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E. Wirth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74" w:lineRule="exact"/>
        <w:rPr>
          <w:sz w:val="20"/>
          <w:szCs w:val="20"/>
          <w:color w:val="auto"/>
        </w:rPr>
      </w:pPr>
    </w:p>
    <w:p>
      <w:pPr>
        <w:ind w:right="280" w:firstLine="8"/>
        <w:spacing w:after="0" w:line="282" w:lineRule="auto"/>
        <w:tabs>
          <w:tab w:leader="none" w:pos="1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57" w:name="page158"/>
    <w:bookmarkEnd w:id="157"/>
    <w:p>
      <w:pPr>
        <w:spacing w:after="0" w:line="203"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relating to the purchase, ownership and disposition of Brandywine Realty Trust’s (“</w:t>
      </w:r>
      <w:r>
        <w:rPr>
          <w:rFonts w:ascii="Times New Roman" w:cs="Times New Roman" w:eastAsia="Times New Roman" w:hAnsi="Times New Roman"/>
          <w:sz w:val="18"/>
          <w:szCs w:val="18"/>
          <w:b w:val="1"/>
          <w:bCs w:val="1"/>
          <w:color w:val="auto"/>
        </w:rPr>
        <w:t>Brandywine</w:t>
      </w:r>
      <w:r>
        <w:rPr>
          <w:rFonts w:ascii="Times New Roman" w:cs="Times New Roman" w:eastAsia="Times New Roman" w:hAnsi="Times New Roman"/>
          <w:sz w:val="18"/>
          <w:szCs w:val="18"/>
          <w:color w:val="auto"/>
        </w:rPr>
        <w:t>”) common shares, preferred shares and debt securities, and debt securities of the Operating Partnership, and the qualification and taxation of Brandywine as a REIT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Because this is a summary that is intended to address only the material U.S. federal income tax considerations relating to the ownership and disposition of Brandywine’s common shares, preferred shares or debt securities and debt securities of the Operating Partnership that will apply to all holders, this summary may not contain all the information that may apply to you. As you review this discussion, you should keep in mind that: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consequences to you may vary depending on your particular tax situation;</w:t>
      </w:r>
    </w:p>
    <w:p>
      <w:pPr>
        <w:jc w:val="right"/>
        <w:ind w:left="340"/>
        <w:spacing w:after="0" w:line="211" w:lineRule="auto"/>
        <w:rPr>
          <w:sz w:val="20"/>
          <w:szCs w:val="20"/>
          <w:color w:val="auto"/>
        </w:rPr>
      </w:pPr>
      <w:r>
        <w:rPr>
          <w:rFonts w:ascii="Times New Roman" w:cs="Times New Roman" w:eastAsia="Times New Roman" w:hAnsi="Times New Roman"/>
          <w:sz w:val="18"/>
          <w:szCs w:val="18"/>
          <w:color w:val="auto"/>
        </w:rPr>
        <w:t>•special rules that are not discussed below may apply to you if you are subject to special tax treatment, including, for example, if you are a tax-exempt organization, a broker-dealer, a non-U.S. person, a trust, an estate, a regulated investment company, a REIT, a financial institution, an insurance</w:t>
      </w:r>
    </w:p>
    <w:p>
      <w:pPr>
        <w:spacing w:after="0" w:line="1"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company, a partnership or other pass-through entity (or an investor therein), a person that holds debt securities or shares as part of a straddle, conversion or other integrated transaction, a person liable for the alternative minimum tax, a U.S. Shareholder or U.S. Holder (each as defined below) whose “functional currency” is not the U.S. dollar, an entity treated as a U.S. corporation by virtue of the inversion rules, accrual method</w:t>
      </w:r>
    </w:p>
    <w:p>
      <w:pPr>
        <w:spacing w:after="0" w:line="2" w:lineRule="exact"/>
        <w:rPr>
          <w:sz w:val="20"/>
          <w:szCs w:val="20"/>
          <w:color w:val="auto"/>
        </w:rPr>
      </w:pPr>
    </w:p>
    <w:p>
      <w:pPr>
        <w:jc w:val="both"/>
        <w:ind w:left="660"/>
        <w:spacing w:after="0" w:line="203" w:lineRule="auto"/>
        <w:rPr>
          <w:sz w:val="20"/>
          <w:szCs w:val="20"/>
          <w:color w:val="auto"/>
        </w:rPr>
      </w:pPr>
      <w:r>
        <w:rPr>
          <w:rFonts w:ascii="Times New Roman" w:cs="Times New Roman" w:eastAsia="Times New Roman" w:hAnsi="Times New Roman"/>
          <w:sz w:val="18"/>
          <w:szCs w:val="18"/>
          <w:color w:val="auto"/>
        </w:rPr>
        <w:t>persons that prepare an “applicable financial statement” (as defined in Section 451 of the Code), or otherwise subject to special tax treatment under the Code;</w:t>
      </w:r>
    </w:p>
    <w:p>
      <w:pPr>
        <w:ind w:left="340"/>
        <w:spacing w:after="0" w:line="220" w:lineRule="auto"/>
        <w:rPr>
          <w:sz w:val="20"/>
          <w:szCs w:val="20"/>
          <w:color w:val="auto"/>
        </w:rPr>
      </w:pPr>
      <w:r>
        <w:rPr>
          <w:rFonts w:ascii="Times New Roman" w:cs="Times New Roman" w:eastAsia="Times New Roman" w:hAnsi="Times New Roman"/>
          <w:sz w:val="18"/>
          <w:szCs w:val="18"/>
          <w:color w:val="auto"/>
        </w:rPr>
        <w:t>•this summary does not address state, local or non-U.S. tax considerations;</w:t>
      </w:r>
    </w:p>
    <w:p>
      <w:pPr>
        <w:ind w:left="660" w:right="20" w:hanging="323"/>
        <w:spacing w:after="0" w:line="203" w:lineRule="auto"/>
        <w:rPr>
          <w:sz w:val="20"/>
          <w:szCs w:val="20"/>
          <w:color w:val="auto"/>
        </w:rPr>
      </w:pPr>
      <w:r>
        <w:rPr>
          <w:rFonts w:ascii="Times New Roman" w:cs="Times New Roman" w:eastAsia="Times New Roman" w:hAnsi="Times New Roman"/>
          <w:sz w:val="18"/>
          <w:szCs w:val="18"/>
          <w:color w:val="auto"/>
        </w:rPr>
        <w:t>•this summary deals only with our shareholders and debt holders that hold common shares, preferred shares or debt securities as “capital assets” within the meaning of Section 1221 of the Code;</w:t>
      </w:r>
    </w:p>
    <w:p>
      <w:pPr>
        <w:ind w:left="340"/>
        <w:spacing w:after="0" w:line="220" w:lineRule="auto"/>
        <w:rPr>
          <w:sz w:val="20"/>
          <w:szCs w:val="20"/>
          <w:color w:val="auto"/>
        </w:rPr>
      </w:pPr>
      <w:r>
        <w:rPr>
          <w:rFonts w:ascii="Times New Roman" w:cs="Times New Roman" w:eastAsia="Times New Roman" w:hAnsi="Times New Roman"/>
          <w:sz w:val="18"/>
          <w:szCs w:val="18"/>
          <w:color w:val="auto"/>
        </w:rPr>
        <w:t>•tax rules are subject to change, potentially with retroactive effect; and</w:t>
      </w:r>
    </w:p>
    <w:p>
      <w:pPr>
        <w:ind w:left="340"/>
        <w:spacing w:after="0"/>
        <w:rPr>
          <w:sz w:val="20"/>
          <w:szCs w:val="20"/>
          <w:color w:val="auto"/>
        </w:rPr>
      </w:pPr>
      <w:r>
        <w:rPr>
          <w:rFonts w:ascii="Times New Roman" w:cs="Times New Roman" w:eastAsia="Times New Roman" w:hAnsi="Times New Roman"/>
          <w:sz w:val="18"/>
          <w:szCs w:val="18"/>
          <w:color w:val="auto"/>
        </w:rPr>
        <w:t>•this discussion is not intended to be, and should not be construed as, tax advice.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You are urged both to review the following discussion and to consult with your own tax advisor to determine the effect of the purchase, ownership and disposition of our common shares, preferred shares or debt securities and debt securities of the Operating Partnership on your individual tax situation,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state, local or non-U.S. tax consequences.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information in this summary is based on the Code, current, temporary and proposed Treasury regulations, the legislative history of the Code, current administrative interpretations and practices of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including its practices and policies as endorsed in private letter</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rulings, which are not binding on the IRS,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status of Brandywine as a REIT or of the Operating Partnership as a partnership. Therefore, it is possible that the IRS could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 the statements in this summary, which do not bind the IRS or the courts, and that a court could agree with the IRS.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Qualification of Brandywine as a REIT</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Brandywine first elected to be taxed as a REIT for the taxable year ended December 31, 1986. A REIT generally is not subject to federal income tax on the income that it distributes to its shareholders if it meets the applicable REIT distribution requirements and other requirements for qualification.</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that we are organized and have operated in such a manner so as to qualify as a REIT, but there can be no assurance that we have qualified or will remain qualified as a REIT.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Qualification and taxation as a REIT depends on our ability to meet, on a continuing basis, through actual operating results, distribution levels, and diversity of stock ownership, various qualification requirements imposed upon REITs by the Code. Our ability to qualify as a REIT also requires that we satisfy certain asset tests, some of which depend upon the fair market values of assets directly or indirectly owned by us. Such values may not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susceptible to a precise determination. While we intend to continue to operate in a manner that will allow us to qualify as a REIT,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40" w:right="339" w:bottom="1440" w:gutter="0" w:footer="0" w:header="0"/>
        </w:sectPr>
      </w:pPr>
    </w:p>
    <w:bookmarkStart w:id="158" w:name="page159"/>
    <w:bookmarkEnd w:id="158"/>
    <w:p>
      <w:pPr>
        <w:ind w:right="120"/>
        <w:spacing w:after="0" w:line="461" w:lineRule="auto"/>
        <w:rPr>
          <w:sz w:val="20"/>
          <w:szCs w:val="20"/>
          <w:color w:val="auto"/>
        </w:rPr>
      </w:pPr>
      <w:r>
        <w:rPr>
          <w:rFonts w:ascii="Times New Roman" w:cs="Times New Roman" w:eastAsia="Times New Roman" w:hAnsi="Times New Roman"/>
          <w:sz w:val="18"/>
          <w:szCs w:val="18"/>
          <w:color w:val="auto"/>
        </w:rPr>
        <w:t xml:space="preserve">assurance can be given that the actual results of our operations for any taxable year will satisfy such requirements for qualification and taxation as a REIT. </w:t>
      </w:r>
      <w:r>
        <w:rPr>
          <w:rFonts w:ascii="Times New Roman" w:cs="Times New Roman" w:eastAsia="Times New Roman" w:hAnsi="Times New Roman"/>
          <w:sz w:val="18"/>
          <w:szCs w:val="18"/>
          <w:b w:val="1"/>
          <w:bCs w:val="1"/>
          <w:i w:val="1"/>
          <w:iCs w:val="1"/>
          <w:u w:val="single" w:color="auto"/>
          <w:color w:val="auto"/>
        </w:rPr>
        <w:t>Taxation of Brandywine as a REIT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we qualify for taxation as a REIT, we generally will not be subject to federal corporate income taxes on that portion of our ordinary income or capital gain that we distribute currently to our shareholders, because the REIT provisions of the Code generally allow a REIT a deduction for distributions paid to its shareholders. This deduction substantially eliminates the “double taxation” on earnings (taxation at both the corporate level and shareholder level)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results from investment in a corporation. However, even if we qualify for taxation as a REIT, we will be subject to federal income tax as follows:</w:t>
      </w:r>
    </w:p>
    <w:p>
      <w:pPr>
        <w:spacing w:after="0" w:line="153" w:lineRule="exact"/>
        <w:rPr>
          <w:sz w:val="20"/>
          <w:szCs w:val="20"/>
          <w:color w:val="auto"/>
        </w:rPr>
      </w:pPr>
    </w:p>
    <w:p>
      <w:pPr>
        <w:ind w:left="440" w:hanging="108"/>
        <w:spacing w:after="0"/>
        <w:tabs>
          <w:tab w:leader="none" w:pos="4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regular corporate rates on any undistributed REIT taxable income, including undistributed net capital gains;</w:t>
      </w:r>
    </w:p>
    <w:p>
      <w:pPr>
        <w:ind w:left="440" w:hanging="108"/>
        <w:spacing w:after="0" w:line="219" w:lineRule="auto"/>
        <w:tabs>
          <w:tab w:leader="none" w:pos="4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for tax years beginning before January 1, 2018, we may be subject to the “alternative minimum tax” on our items of tax</w:t>
      </w:r>
    </w:p>
    <w:p>
      <w:pPr>
        <w:ind w:left="660"/>
        <w:spacing w:after="0" w:line="203" w:lineRule="auto"/>
        <w:rPr>
          <w:sz w:val="20"/>
          <w:szCs w:val="20"/>
          <w:color w:val="auto"/>
        </w:rPr>
      </w:pPr>
      <w:r>
        <w:rPr>
          <w:rFonts w:ascii="Times New Roman" w:cs="Times New Roman" w:eastAsia="Times New Roman" w:hAnsi="Times New Roman"/>
          <w:sz w:val="18"/>
          <w:szCs w:val="18"/>
          <w:color w:val="auto"/>
        </w:rPr>
        <w:t>preference, if any;</w:t>
      </w:r>
    </w:p>
    <w:p>
      <w:pPr>
        <w:spacing w:after="0" w:line="1" w:lineRule="exact"/>
        <w:rPr>
          <w:sz w:val="20"/>
          <w:szCs w:val="20"/>
          <w:color w:val="auto"/>
        </w:rPr>
      </w:pPr>
    </w:p>
    <w:p>
      <w:pPr>
        <w:ind w:left="660" w:hanging="328"/>
        <w:spacing w:after="0" w:line="208" w:lineRule="auto"/>
        <w:tabs>
          <w:tab w:leader="none" w:pos="4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prohibited transactions (which are, in general, certain sales or other dispositions of property, other than foreclosure property, held primarily for sale to customers in the ordinary course of business) such income will be subject to a 100% tax (See “-Sale of Partnership Property)”;</w:t>
      </w:r>
    </w:p>
    <w:p>
      <w:pPr>
        <w:spacing w:after="0" w:line="1" w:lineRule="exact"/>
        <w:rPr>
          <w:rFonts w:ascii="Times New Roman" w:cs="Times New Roman" w:eastAsia="Times New Roman" w:hAnsi="Times New Roman"/>
          <w:sz w:val="18"/>
          <w:szCs w:val="18"/>
          <w:color w:val="auto"/>
        </w:rPr>
      </w:pPr>
    </w:p>
    <w:p>
      <w:pPr>
        <w:ind w:left="660" w:hanging="328"/>
        <w:spacing w:after="0" w:line="207" w:lineRule="auto"/>
        <w:tabs>
          <w:tab w:leader="none" w:pos="4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treat property that we acquire in connection with a foreclosure of a mortgage loan or leasehold as “foreclosure property,” we may thereby avoid the 100% tax on gain from a resale of that property (if the sale would otherwise constitute a prohibited transaction), but the income from the sale or operation of the property (and any other non-qualifying income from foreclosure property) may be subject to corporate income tax at the highest applicable rate (currently 21%);</w:t>
      </w:r>
    </w:p>
    <w:p>
      <w:pPr>
        <w:spacing w:after="0" w:line="1" w:lineRule="exact"/>
        <w:rPr>
          <w:rFonts w:ascii="Times New Roman" w:cs="Times New Roman" w:eastAsia="Times New Roman" w:hAnsi="Times New Roman"/>
          <w:sz w:val="18"/>
          <w:szCs w:val="18"/>
          <w:color w:val="auto"/>
        </w:rPr>
      </w:pPr>
    </w:p>
    <w:p>
      <w:pPr>
        <w:ind w:left="660" w:hanging="328"/>
        <w:spacing w:after="0" w:line="208" w:lineRule="auto"/>
        <w:tabs>
          <w:tab w:leader="none" w:pos="4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should fail to satisfy the 75% gross income test or the 95% gross income test (each as discussed below), and nonetheless have maintained our qualification as a REIT because certain other requirements have been met, we will be subject to a 100% tax on the net income attributable to the greater of the amount by which we fail the 75% or 95% test, multiplied by a fraction intended to reflect our profitability;</w:t>
      </w:r>
    </w:p>
    <w:p>
      <w:pPr>
        <w:spacing w:after="0" w:line="1" w:lineRule="exact"/>
        <w:rPr>
          <w:rFonts w:ascii="Times New Roman" w:cs="Times New Roman" w:eastAsia="Times New Roman" w:hAnsi="Times New Roman"/>
          <w:sz w:val="18"/>
          <w:szCs w:val="18"/>
          <w:color w:val="auto"/>
        </w:rPr>
      </w:pPr>
    </w:p>
    <w:p>
      <w:pPr>
        <w:ind w:left="660" w:hanging="328"/>
        <w:spacing w:after="0" w:line="211" w:lineRule="auto"/>
        <w:tabs>
          <w:tab w:leader="none" w:pos="4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any of the REIT asset tests, as discussed below, by more than a de minimis amount, but our failure is due to reasonable cause and not due to willful negligence and we nonetheless maintain our REIT qualification because of specified cure provisions, we will be required to pay a tax equal to the greater of $50,000 or the highest applicable rate for corporate taxpayers (currently 21%) of the net income generated by the non-qualifying assets during the period in which we failed to satisfy the asset tests;</w:t>
      </w:r>
    </w:p>
    <w:p>
      <w:pPr>
        <w:spacing w:after="0" w:line="1" w:lineRule="exact"/>
        <w:rPr>
          <w:rFonts w:ascii="Times New Roman" w:cs="Times New Roman" w:eastAsia="Times New Roman" w:hAnsi="Times New Roman"/>
          <w:sz w:val="18"/>
          <w:szCs w:val="18"/>
          <w:color w:val="auto"/>
        </w:rPr>
      </w:pPr>
    </w:p>
    <w:p>
      <w:pPr>
        <w:ind w:left="660" w:hanging="328"/>
        <w:spacing w:after="0" w:line="208" w:lineRule="auto"/>
        <w:tabs>
          <w:tab w:leader="none" w:pos="4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any provision of the Code that would result in our failure to qualify as a REIT (other than a gross income or asset test requirement) and that violation is due to reasonable cause and not due to willful negligence, we may retain our REIT qualification, but we will be required to pay a penalty of $50,000 for each such failure;</w:t>
      </w:r>
    </w:p>
    <w:p>
      <w:pPr>
        <w:spacing w:after="0" w:line="1" w:lineRule="exact"/>
        <w:rPr>
          <w:rFonts w:ascii="Times New Roman" w:cs="Times New Roman" w:eastAsia="Times New Roman" w:hAnsi="Times New Roman"/>
          <w:sz w:val="18"/>
          <w:szCs w:val="18"/>
          <w:color w:val="auto"/>
        </w:rPr>
      </w:pPr>
    </w:p>
    <w:p>
      <w:pPr>
        <w:ind w:left="660" w:hanging="328"/>
        <w:spacing w:after="0" w:line="208" w:lineRule="auto"/>
        <w:tabs>
          <w:tab w:leader="none" w:pos="4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rules relating to the composition of our shareholders, as described below in “-Requirements for Qualification as a REIT”;</w:t>
      </w:r>
    </w:p>
    <w:p>
      <w:pPr>
        <w:spacing w:after="0" w:line="1" w:lineRule="exact"/>
        <w:rPr>
          <w:rFonts w:ascii="Times New Roman" w:cs="Times New Roman" w:eastAsia="Times New Roman" w:hAnsi="Times New Roman"/>
          <w:sz w:val="18"/>
          <w:szCs w:val="18"/>
          <w:color w:val="auto"/>
        </w:rPr>
      </w:pPr>
    </w:p>
    <w:p>
      <w:pPr>
        <w:ind w:left="660" w:hanging="328"/>
        <w:spacing w:after="0" w:line="207" w:lineRule="auto"/>
        <w:tabs>
          <w:tab w:leader="none" w:pos="4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should fail to distribute during each calendar year at least the sum of (a) 85% of our REIT ordinary income for such year, (b) 95% of our REIT capital gain net income for such year and (c) any undistributed taxable income from prior years, we would be subject to a 4% excise tax on the excess of such required distribution over the sum of (i) the amounts actually distributed plus (ii) retained amounts on which corporate level tax is paid by us;</w:t>
      </w:r>
    </w:p>
    <w:p>
      <w:pPr>
        <w:spacing w:after="0" w:line="1" w:lineRule="exact"/>
        <w:rPr>
          <w:rFonts w:ascii="Times New Roman" w:cs="Times New Roman" w:eastAsia="Times New Roman" w:hAnsi="Times New Roman"/>
          <w:sz w:val="18"/>
          <w:szCs w:val="18"/>
          <w:color w:val="auto"/>
        </w:rPr>
      </w:pPr>
    </w:p>
    <w:p>
      <w:pPr>
        <w:ind w:left="660" w:hanging="328"/>
        <w:spacing w:after="0" w:line="203" w:lineRule="auto"/>
        <w:tabs>
          <w:tab w:leader="none" w:pos="44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and in that case, a shareholder would include its proportionate share of our undistributed long-term capital gain in its income and would be allowed a credit for its proportionate share of the tax we paid;</w:t>
      </w:r>
    </w:p>
    <w:p>
      <w:pPr>
        <w:ind w:left="660" w:hanging="328"/>
        <w:spacing w:after="0" w:line="211" w:lineRule="auto"/>
        <w:tabs>
          <w:tab w:leader="none" w:pos="44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excise tax may be imposed on some items of income and expense that are directly or constructively paid between us, our tenants and/or our taxable REIT subsidiaries if and to the extent that the Internal Revenue Service successfully adjusts the reported amounts of these items;</w:t>
      </w:r>
    </w:p>
    <w:p>
      <w:pPr>
        <w:ind w:left="660" w:hanging="328"/>
        <w:spacing w:after="0" w:line="209" w:lineRule="auto"/>
        <w:tabs>
          <w:tab w:leader="none" w:pos="4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acquire appreciated assets from a C corporation (i.e., a corporation generally subject to corporate level tax) in a transaction in which the adjusted tax basis of the assets in our hands is determined by reference to the adjusted tax basis of the assets in the hands of the C corporation, we may be subject to tax on such appreciation at the highest corporate income tax rate then applicable if we subsequently recognize gain on a disposition of such assets during the five-year period following their acquisition from the C corporation, unless the C corporation elects to treat the assets as if they were sold for their fair market value at the time of our acquisition; </w:t>
      </w:r>
      <w:r>
        <w:rPr>
          <w:rFonts w:ascii="Times New Roman" w:cs="Times New Roman" w:eastAsia="Times New Roman" w:hAnsi="Times New Roman"/>
          <w:sz w:val="21"/>
          <w:szCs w:val="21"/>
          <w:color w:val="auto"/>
        </w:rPr>
        <w:t>and</w:t>
      </w:r>
    </w:p>
    <w:p>
      <w:pPr>
        <w:ind w:left="440" w:hanging="108"/>
        <w:spacing w:after="0"/>
        <w:tabs>
          <w:tab w:leader="none" w:pos="4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earned by any of our taxable REIT subsidiaries will be subject to tax at regular corporate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Requirements for Qualification as a REIT</w:t>
      </w:r>
    </w:p>
    <w:p>
      <w:pPr>
        <w:spacing w:after="0" w:line="219" w:lineRule="auto"/>
        <w:rPr>
          <w:sz w:val="20"/>
          <w:szCs w:val="20"/>
          <w:color w:val="auto"/>
        </w:rPr>
      </w:pPr>
      <w:r>
        <w:rPr>
          <w:rFonts w:ascii="Times New Roman" w:cs="Times New Roman" w:eastAsia="Times New Roman" w:hAnsi="Times New Roman"/>
          <w:sz w:val="18"/>
          <w:szCs w:val="18"/>
          <w:color w:val="auto"/>
        </w:rPr>
        <w:t>We elected to be taxable as a REIT for U.S. federal income tax purposes for our taxable year ended December 31, 1986. In order to have so qualified, we</w:t>
      </w:r>
    </w:p>
    <w:p>
      <w:pPr>
        <w:spacing w:after="0" w:line="226" w:lineRule="auto"/>
        <w:rPr>
          <w:sz w:val="20"/>
          <w:szCs w:val="20"/>
          <w:color w:val="auto"/>
        </w:rPr>
      </w:pPr>
      <w:r>
        <w:rPr>
          <w:rFonts w:ascii="Times New Roman" w:cs="Times New Roman" w:eastAsia="Times New Roman" w:hAnsi="Times New Roman"/>
          <w:sz w:val="18"/>
          <w:szCs w:val="18"/>
          <w:color w:val="auto"/>
        </w:rPr>
        <w:t>must have met and continue to meet the requirements discussed below, relating to our organization, sources of income, nature of assets and distributions of income to shareholders.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 defines a REIT as a corporation, trust or association:</w:t>
      </w:r>
    </w:p>
    <w:p>
      <w:pPr>
        <w:spacing w:after="0" w:line="187" w:lineRule="exact"/>
        <w:rPr>
          <w:sz w:val="20"/>
          <w:szCs w:val="20"/>
          <w:color w:val="auto"/>
        </w:rPr>
      </w:pPr>
    </w:p>
    <w:p>
      <w:pPr>
        <w:ind w:left="520" w:hanging="188"/>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ind w:left="520" w:hanging="188"/>
        <w:spacing w:after="0" w:line="203"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ind w:left="520" w:hanging="188"/>
        <w:spacing w:after="0" w:line="219"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the special Code provisions applicable to REITs;</w:t>
      </w:r>
    </w:p>
    <w:p>
      <w:pPr>
        <w:ind w:left="520" w:hanging="188"/>
        <w:spacing w:after="0" w:line="203"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neither a financial institution nor an insurance company subject to certain provisions of the Code;</w:t>
      </w:r>
    </w:p>
    <w:p>
      <w:pPr>
        <w:ind w:left="520" w:hanging="188"/>
        <w:spacing w:after="0" w:line="203"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w:t>
      </w:r>
    </w:p>
    <w:p>
      <w:pPr>
        <w:ind w:left="520" w:hanging="188"/>
        <w:spacing w:after="0" w:line="219"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during the last half of each taxable year, not more than 50% in value of the outstanding shares is owned, directly or indirectly, by five or</w:t>
      </w:r>
    </w:p>
    <w:p>
      <w:pPr>
        <w:ind w:left="660"/>
        <w:spacing w:after="0" w:line="203" w:lineRule="auto"/>
        <w:rPr>
          <w:sz w:val="20"/>
          <w:szCs w:val="20"/>
          <w:color w:val="auto"/>
        </w:rPr>
      </w:pPr>
      <w:r>
        <w:rPr>
          <w:rFonts w:ascii="Times New Roman" w:cs="Times New Roman" w:eastAsia="Times New Roman" w:hAnsi="Times New Roman"/>
          <w:sz w:val="18"/>
          <w:szCs w:val="18"/>
          <w:color w:val="auto"/>
        </w:rPr>
        <w:t>fewer individuals (as defined in the Code to include specified entities), after applying certain attribution rules;</w:t>
      </w:r>
    </w:p>
    <w:p>
      <w:pPr>
        <w:spacing w:after="0" w:line="1" w:lineRule="exact"/>
        <w:rPr>
          <w:sz w:val="20"/>
          <w:szCs w:val="20"/>
          <w:color w:val="auto"/>
        </w:rPr>
      </w:pPr>
    </w:p>
    <w:p>
      <w:pPr>
        <w:ind w:left="660" w:hanging="328"/>
        <w:spacing w:after="0" w:line="211" w:lineRule="auto"/>
        <w:tabs>
          <w:tab w:leader="none" w:pos="52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w:t>
      </w:r>
    </w:p>
    <w:p>
      <w:pPr>
        <w:ind w:left="660" w:right="20" w:hanging="328"/>
        <w:spacing w:after="0" w:line="203" w:lineRule="auto"/>
        <w:tabs>
          <w:tab w:leader="none" w:pos="5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uses a calendar year for federal income tax purposes and complies with the record keeping requirements of the Code and the Treasury regulations; and</w:t>
      </w:r>
    </w:p>
    <w:p>
      <w:pPr>
        <w:ind w:left="520" w:hanging="188"/>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applicable tests, described below, regarding the nature of its income and assets and the amount of its distributions.</w:t>
      </w:r>
    </w:p>
    <w:p>
      <w:pPr>
        <w:spacing w:after="0" w:line="17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Conditions (1) through (4) must be satisfied during the entire taxable year, and condition (5) must be satisfied during at least 335 days of a taxable year of 12 months, or during a proportionate part of a taxable year of less than 12 months. Conditions (5) and (6) do not apply until after the first taxable year for which an election is made to be taxed as a REIT.</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have previously issued common shares in sufficient proportions to allow us to satisfy requirements (5) and (6) (the “100 Shareholder” and “five-or-fewer” requirements). In addition, our Declaration of Trust provides restrictions regarding the transfer of our shares that are intended to assist us in continuing to satisfy the requirements described in conditions (5) and (6) above. However, these restrictions may not ensure that we will, in all cases, be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able to satisfy the requirements described in conditions (5) and (6) above. In addition, we have not obtained a ruling from the Internal Revenue Service as to whether the provisions of our Declaration of Trust concerning restrictions on transfer and conversion of common shares to “Excess Shares” will allow us to satisfy conditions (5) and (6). If we fail to satisfy such share ownership requirements, our status as a REIT will terminate. However, if the failure to meet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share ownership requirements is due to reasonable cause and not due to willful neglect, we may avoid termination of our REIT status by paying a penalty of $50,000.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monitor compliance with the share ownership requirements, we are required to maintain records regarding the actual ownership of our shares. To do so,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must demand written statements each year from the record holders of certain percentages of our shares in which the record holders are to disclose the actual owners of the shares (the persons required to include in gross income the dividends paid by us). A list of those persons failing or refusing to comply with this demand must be maintained as part of our records. Failure by us to comply with these record-keeping requirements could subject us to monetary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penalties. If we satisfy these requirements and have no reason to know that condition (6) is not satisfied, we will be deemed to have satisfied such condition. A shareholder that fails or refuses to comply with the demand is required by Treasury regulations to submit a statement with its tax return disclosing the actual ownership of the shares and other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Qualified REIT Subsidiaries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subsidiary” (discussed below). In applying the requirements described herein, all of our “qualified REIT subsidiaries” will be ignored, and all assets, liabilities 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392" w:right="339" w:bottom="1440" w:gutter="0" w:footer="0" w:header="0"/>
        </w:sectPr>
      </w:pPr>
    </w:p>
    <w:bookmarkStart w:id="160" w:name="page161"/>
    <w:bookmarkEnd w:id="160"/>
    <w:p>
      <w:pPr>
        <w:jc w:val="both"/>
        <w:spacing w:after="0" w:line="222" w:lineRule="auto"/>
        <w:rPr>
          <w:sz w:val="20"/>
          <w:szCs w:val="20"/>
          <w:color w:val="auto"/>
        </w:rPr>
      </w:pPr>
      <w:r>
        <w:rPr>
          <w:rFonts w:ascii="Times New Roman" w:cs="Times New Roman" w:eastAsia="Times New Roman" w:hAnsi="Times New Roman"/>
          <w:sz w:val="18"/>
          <w:szCs w:val="18"/>
          <w:color w:val="auto"/>
        </w:rPr>
        <w:t>In the event that a qualified REIT subsidiary or another entity that is a disregarded subsidiary for U.S. federal income tax purposes ceases to be wholly owned by us (for example, if any equity interest in the subsidiary is acquired by a person other than us or another disregarded subsidiary of us),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subsidiary’s separate existence would no longer be disregarded for U.S. federal income tax purposes. Instead, it would have multiple owners and would be treated as either a partnership or a taxable corporation. Such an event could, depending on the circumstances, adversely affect our ability to satisfy the various asset and gross income tests applicable to REITs, including the requirement that REITs generally may not own, directly or indirectly, more than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of the value or voting power of the outstanding securities of another corporation. See “-Asset Tests” and “-Income Tests.”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Taxable REIT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REIT may generally jointly elect with a subsidiary corporation, whether or not wholly owned, to treat the subsidiary as a “taxable REIT subsidiary.”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 if a taxable REIT subsidiary owns, directly or indirectly, securities representing 35% or more of the vote or value of a subsidiary corporation, that subsidiary will also be treated as a taxable REIT subsidiary. A taxable REIT subsidiary is a corporation subject to U.S. federal income tax, and state and local income tax where applicable, as a regular “C” corporation. We generally may not own more than 10%, as measured by voting power or value,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of a corporation that is not a qualified REIT subsidiary unless we and such corporation elect to treat such corporation as a taxable REIT subsidiary. Overall, no more than 20% of the value of a REIT’s assets (25% for taxable years beginning before January 1, 2018) may consist of stock or securities of one or more taxable REIT subsidiaries.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Income earned by a taxable REIT subsidiary is not attributable to us. Rather, the stock issued by a taxable REIT subsidiary to us is an asset in our hands, and we treat dividends paid to us from such taxable REIT subsidiary, if any, as income. This income can affect our income and asset tests calculations, as described below. As a result, income that might not be qualifying income for purposes of the income tests applicable to REITs could be earned by a taxable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REIT subsidiary without affecting our status as a REIT. For example, a taxable REIT subsidiary of ours can perform some impermissible tenant services without causing us to receive impermissible tenant services income under the REIT income tests.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several provisions regarding the arrangements between a REIT and its taxable REIT subsidiaries ensure that a taxable REIT subsidiary will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an appropriate level of U.S. federal income taxation. Further, the rules impose a 100% excise tax on certain transactions between a taxable REIT subsidiary and its parent REIT or the REIT’s tenants that are not conducted on an arm’s-length basis. The 100% tax also will apply to “redetermined services income,” meanings non-arm’s-length income of a taxable REIT subsidiary attributable to services provided to, or on behalf of, its parent REIT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(other than services provided to the REIT’s tenants, which are potentially taxed as “redetermined rents”). A taxable REIT subsidiary may also engage in other activities that, if conducted by us other than through a taxable REIT subsidiary, could result in the receipt of non-qualified income or the ownership of non-qualified assets.</w:t>
      </w:r>
    </w:p>
    <w:p>
      <w:pPr>
        <w:spacing w:after="0" w:line="16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Under legislation commonly referred to as the Tax Cuts and Jobs Act (the “</w:t>
      </w:r>
      <w:r>
        <w:rPr>
          <w:rFonts w:ascii="Times New Roman" w:cs="Times New Roman" w:eastAsia="Times New Roman" w:hAnsi="Times New Roman"/>
          <w:sz w:val="18"/>
          <w:szCs w:val="18"/>
          <w:b w:val="1"/>
          <w:bCs w:val="1"/>
          <w:color w:val="auto"/>
        </w:rPr>
        <w:t>TCJA</w:t>
      </w:r>
      <w:r>
        <w:rPr>
          <w:rFonts w:ascii="Times New Roman" w:cs="Times New Roman" w:eastAsia="Times New Roman" w:hAnsi="Times New Roman"/>
          <w:sz w:val="18"/>
          <w:szCs w:val="18"/>
          <w:color w:val="auto"/>
        </w:rPr>
        <w:t>”), for taxable years beginning after December 31, 2017, taxpayers are subject to a limitation on their ability to deduct net business interest expense (even if paid to third parties) in excess of the sum of a taxpayer’s business interest income and 30% of the adjusted taxable income of the business, which is its taxable income computed without regard to business interest income or</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expense, net operating losses or the pass-through income deduction (and for taxable years before 2022, excludes depreciation and amortization). These provisions may limit the ability of our taxable REIT subsidiaries to deduct interest, which could increase their taxable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Ownership of Partnership Interests by a REIT</w:t>
      </w:r>
    </w:p>
    <w:p>
      <w:pPr>
        <w:spacing w:after="0" w:line="20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A REIT that is a partner in a partnership is deemed to own its proportionate share of the assets of the partnership and is deemed to receive the income of the partnership attributable to such share. In addition, the character of the assets and gross income of the partnership retains the same character in the hands of the REIT (except that, for purposes of the 10% of value asset test described below, our proportionate share of the partnership’s assets is based on our proportionate interest in the equity and certain debt securities issued by the partnership, as described in the Code). Accordingly, our proportionate share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assets, liabilities and items of income of the Operating Partnership are treated as assets, liabilities and items of income of ours for purposes of applying the requirements described herein. Brandywine has control over the Operating Partnership and most of the partnership and limited liability company subsidiaries of the Operating Partnership and intends to operate them in a manner that is consistent with the requirements for qualification of Brandywine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Tests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qualify as a REIT, Brandywine must generally satisfy two gross income requirements on an annual basis. First, at least 75% of our gross income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(excluding gross income from prohibited transactions) for each taxable year must be derived directly or indirectly from the following: investments relating to real property or mortgages on real property, including “rents from real property”; dividends received from other REITs; interest income derived from mortgage loans secured by real property (including certain types of mortgage-backed securities); interest on mortgage loans secured by both real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personal property if the fair market value of such personal property does not exceed 15% of the total fair market value of all property securing the loans; gains from the sale of real estate assets (except for gain from a nonqualified publicly offered REIT debt instrument (as defined below)); and income from certain kinds of temporary investments. Second, at least 95% of our gross income (excluding gross income from prohibited transactions) for each taxable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year must be derived from the same items which qualify under the 75% gross income test, and from dividends, interest and gain from the sale or disposition of securities, which need not have any relation to real property.</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Rents received by a REIT will qualify as “rents from real property” in satisfying the gross income requirements described above only if several conditions are met.</w:t>
      </w:r>
    </w:p>
    <w:p>
      <w:pPr>
        <w:spacing w:after="0" w:line="149" w:lineRule="exact"/>
        <w:rPr>
          <w:sz w:val="20"/>
          <w:szCs w:val="20"/>
          <w:color w:val="auto"/>
        </w:rPr>
      </w:pPr>
    </w:p>
    <w:p>
      <w:pPr>
        <w:ind w:left="660" w:hanging="328"/>
        <w:spacing w:after="0" w:line="216" w:lineRule="auto"/>
        <w:tabs>
          <w:tab w:leader="none" w:pos="4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1" w:lineRule="exact"/>
        <w:rPr>
          <w:rFonts w:ascii="Times New Roman" w:cs="Times New Roman" w:eastAsia="Times New Roman" w:hAnsi="Times New Roman"/>
          <w:sz w:val="18"/>
          <w:szCs w:val="18"/>
          <w:color w:val="auto"/>
        </w:rPr>
      </w:pPr>
    </w:p>
    <w:p>
      <w:pPr>
        <w:ind w:left="660" w:hanging="328"/>
        <w:spacing w:after="0" w:line="209"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received from a tenant will not qualify as “rents from real property” in satisfying the gross income tests if the REIT, or a direct or indirect owner of 10% or more of the REIT, directly or constructively, owns 10% or more of such tenant (a “</w:t>
      </w:r>
      <w:r>
        <w:rPr>
          <w:rFonts w:ascii="Times New Roman" w:cs="Times New Roman" w:eastAsia="Times New Roman" w:hAnsi="Times New Roman"/>
          <w:sz w:val="18"/>
          <w:szCs w:val="18"/>
          <w:b w:val="1"/>
          <w:bCs w:val="1"/>
          <w:color w:val="auto"/>
        </w:rPr>
        <w:t>Related Party Tenant</w:t>
      </w:r>
      <w:r>
        <w:rPr>
          <w:rFonts w:ascii="Times New Roman" w:cs="Times New Roman" w:eastAsia="Times New Roman" w:hAnsi="Times New Roman"/>
          <w:sz w:val="18"/>
          <w:szCs w:val="18"/>
          <w:color w:val="auto"/>
        </w:rPr>
        <w:t>”). However, rental payments from a taxable REIT subsidiary will qualify as rents from real property even if we own more than 10% of the total value or combined voting power of the taxable REIT subsidiary if at least 90% of the property is leased to unrelated tenants and the rent paid by the taxable REIT subsidiary is substantially comparable to the rent paid by the unrelated tenants for comparable space.</w:t>
      </w:r>
    </w:p>
    <w:p>
      <w:pPr>
        <w:spacing w:after="0" w:line="3" w:lineRule="exact"/>
        <w:rPr>
          <w:rFonts w:ascii="Times New Roman" w:cs="Times New Roman" w:eastAsia="Times New Roman" w:hAnsi="Times New Roman"/>
          <w:sz w:val="18"/>
          <w:szCs w:val="18"/>
          <w:color w:val="auto"/>
        </w:rPr>
      </w:pPr>
    </w:p>
    <w:p>
      <w:pPr>
        <w:ind w:left="660" w:hanging="328"/>
        <w:spacing w:after="0" w:line="203"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attributable to personal property leased in connection with a lease of real property will not qualify as “rents from real property” if such rent exceeds 15% of the total rent received under the lease.</w:t>
      </w:r>
    </w:p>
    <w:p>
      <w:pPr>
        <w:ind w:left="660" w:hanging="328"/>
        <w:spacing w:after="0" w:line="226" w:lineRule="auto"/>
        <w:tabs>
          <w:tab w:leader="none" w:pos="46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rents received to qualify as “rents from real property,” we generally must not operate or manage the property or furnish or render services to tenants, except through an “independent contractor” who is adequately compensated and from whom the REIT derives no income, or through a taxable REIT subsidiary.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taxable REIT subsidiary may provide services (including non-customary services) to a REIT’s tenants without “tainting” any of the rental income received by the REIT, and it will be able to manage or operate properties for third parties and generally engage in other activities unrelated to real estate.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anticipate receiving rent that is based in whole or in part on the income or profits of any person (except by reason of being based on a fixed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percentage or percentages of gross receipts or sales consistent with the rules described above). We also do not anticipate receiving more than a de minimis amount of rents from any Related Party Tenant or rents attributable to personal property leased in connection with real property that will exceed 15% of the total rents received with respect to such real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services to our properties that we own through the Operating Partnership, and we believe that all of such services will be considered “usually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customarily rendered” in connection with the rental of space for occupancy only so that the provision of such services will not jeopardize the qualification of rent from the properties as “rents from real property.” In the case of any services that are not “usual and customary” under the foregoing rules, we intend to employ an “independent contractor” or a taxable REIT subsidiary to provide such services.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Operating Partnership may receive certain types of income that will not qualify under the 75% or 95% gross income tests. In particular, dividends received from a taxable REIT subsidiary will not qualify under the 75% test. We believe, however, that the aggregate amount of such items and other non-qualifying income in any taxable year will not cause Brandywine to exceed the limits on non-qualifying income under either the 75% or 95% gross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0" w:right="339" w:bottom="1440" w:gutter="0" w:footer="0" w:header="0"/>
        </w:sectPr>
      </w:pPr>
    </w:p>
    <w:bookmarkStart w:id="162" w:name="page163"/>
    <w:bookmarkEnd w:id="162"/>
    <w:p>
      <w:pPr>
        <w:jc w:val="both"/>
        <w:spacing w:after="0" w:line="222" w:lineRule="auto"/>
        <w:rPr>
          <w:sz w:val="20"/>
          <w:szCs w:val="20"/>
          <w:color w:val="auto"/>
        </w:rPr>
      </w:pPr>
      <w:r>
        <w:rPr>
          <w:rFonts w:ascii="Times New Roman" w:cs="Times New Roman" w:eastAsia="Times New Roman" w:hAnsi="Times New Roman"/>
          <w:sz w:val="18"/>
          <w:szCs w:val="18"/>
          <w:color w:val="auto"/>
        </w:rPr>
        <w:t>If Brandywine fails to satisfy one or both of the 75% or 95% gross income tests for any taxable year, Brandywine may nevertheless qualify as a REIT for such year if it is entitled to relief under certain provisions of the Code. These relief provisions will be generally available if (1) the failure to meet such tests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was due to reasonable cause and not due to willful neglect, (2) we have attached a schedule of the sources of our income to our return and (3) any incorrect information on the schedule was not due to fraud with intent to evade tax. In addition, we must also file a disclosure schedule with the IRS after we determine that we have not satisfied one of the gross income tests. It is not possible, however, to state whether in all circumstances Brandywine would be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entitled to the benefit of these relief provisions. As discussed above in “-Taxation of Brandywine as a REIT,” even if these relief provisions apply, a tax would be imposed based on the non-qualifying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 Tests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close of each quarter of each taxable year, Brandywine must satisfy the following six tests relating to the nature of our assets:</w:t>
      </w:r>
    </w:p>
    <w:p>
      <w:pPr>
        <w:spacing w:after="0" w:line="18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First, at least 75% of the value of our total assets must be represented by some combination of “real estate assets,” cash or cash items, U.S. government securities, and, under some circumstances, stock or debt instruments purchased with new capital. For this purpose, “real estate assets” include interests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real property, such as land, buildings, leasehold interests in real property, stock of other REITs, certain kinds of mortgage-backed securities and mortgage loans, and: (i) personal property leased in connection with real property to the extent that the rents from personal property are treated as “rent from real property” for purposes of the 75% income test, and (ii) debt instruments issued by publicly offered REITs. Assets that do not qualify for purposes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75% test are subject to the additional asset tests described below, while securities that do qualify for purposes of the 75% test are generally not subject to the additional asset tests.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the value of any one issuer’s securities we own may not exceed 5% of the value of our total assets.</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Third, we may not own more than 10% of the vote or value of any one issuer’s outstanding securities. The 5% and 10% tests do not apply to our interests in the Operating Partnership, non-corporate subsidiaries, taxable REIT subsidiaries and any qualified REIT subsidiaries, and the 10% value test does not apply with respect to certain “straight debt” securities.</w:t>
      </w:r>
    </w:p>
    <w:p>
      <w:pPr>
        <w:spacing w:after="0" w:line="1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Fourth, not more than 20% (25% for taxable years beginning before January 1, 2018) of the value of our assets may be represented by securities of one or more taxable REIT subsidiaries.</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Fifth, not more than 25% of the value of our total assets may be represented by “nonqualified publicly offered REIT debt instruments.” “Nonqualified publicly offered REIT debt instruments” are debt instruments issued by publicly offered REITs that are not secured by a mortgage on real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not more than 25% of the value of our total assets may consist of securities other than securities that qualify for purposes of the 75% test.</w:t>
      </w:r>
    </w:p>
    <w:p>
      <w:pPr>
        <w:spacing w:after="0" w:line="18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We own, directly or indirectly, common shares of certain entities that have elected or will elect to be treated as a real estate investment trusts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REITs</w:t>
      </w:r>
      <w:r>
        <w:rPr>
          <w:rFonts w:ascii="Times New Roman" w:cs="Times New Roman" w:eastAsia="Times New Roman" w:hAnsi="Times New Roman"/>
          <w:sz w:val="17"/>
          <w:szCs w:val="17"/>
          <w:color w:val="auto"/>
        </w:rPr>
        <w:t>”). Provided that each of the Subsidiary REITs continues to qualify as a REIT (including satisfaction of the ownership, income, asset and distribution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tests discussed herein) the common shares of the Subsidiary REITs will qualify as real estate assets under the 75% test. However, if any Subsidiary REIT</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fails to qualify as a REIT in any year, then the common shares of such Subsidiary REIT will not qualify as real estate assets under the 75% test. In addition, if we own, directly or indirectly, more than 10% of the common shares of each Subsidiary REIT, Brandywine would not satisfy the 10% test if any Subsidiary REIT were to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63" w:name="page164"/>
    <w:bookmarkEnd w:id="163"/>
    <w:p>
      <w:pPr>
        <w:jc w:val="both"/>
        <w:spacing w:after="0" w:line="237" w:lineRule="auto"/>
        <w:rPr>
          <w:sz w:val="20"/>
          <w:szCs w:val="20"/>
          <w:color w:val="auto"/>
        </w:rPr>
      </w:pPr>
      <w:r>
        <w:rPr>
          <w:rFonts w:ascii="Times New Roman" w:cs="Times New Roman" w:eastAsia="Times New Roman" w:hAnsi="Times New Roman"/>
          <w:sz w:val="18"/>
          <w:szCs w:val="18"/>
          <w:color w:val="auto"/>
        </w:rPr>
        <w:t>qualify as a REIT. Accordingly, Brandywine’s qualification as a REIT depends upon the ability of any more than 10% owned Subsidiary REIT to continue to qualify as a REIT.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After initially meeting the asset tests at the close of any quarter, Brandywine will not lose its status as a REIT for failure to satisfy the asset tests at the end of a later quarter solely by reason of changes in asset values. If the failure to satisfy the asset tests results from an acquisition of securities or other property during a quarter, the failure can be cured by disposition of sufficient non-qualifying assets within 30 days after the close of that quarter. We intend to</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maintain adequate records of the value of our assets to ensure compliance with the asset tests, and to take such other action within 30 days after the close of any quarter as may be required to cure any noncompliance. However, there can be no assurance that such other action will always be successful. If we fail to cure any noncompliance with the asset tests within such time period, our status as a REIT would be lost.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Code provides relief from certain failures to satisfy the REIT asset tests. If the failure relates to the 5% test or 10% test, and if the failure is de minimis (does not exceed the lesser of $10 million or 1% of our assets as of the end of the quarter), we may avoid the loss of our REIT status by disposing of sufficient assets to cure the failure within 6 months after the end of the quarter in which the failure was identified. For failures to meet the asset tests that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are more than a de minimis amount, we may avoid the loss of our REIT status if: (1) the failure was due to reasonable cause, (2) we file a disclosure schedule at the end of the quarter in which the failure was identified, (3) we dispose of sufficient assets to cure the failure within 6 months after the end of the quarter and (4) we pay a tax equal to the greater of $50,000 or the highest corporate tax rate multiplied by the net income generated by the non-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qualifying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Annual Distribution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qualify as a REIT, Brandywine is required to distribute dividends (other than capital gain dividends) to our shareholders in an amount at least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equal to (1) the sum of (a) 90% of its “REIT taxable income” (computed without regard to the dividends paid deduction and the REIT’s net capital gain or loss) and (b) 90% of the net income (after tax), if any, from foreclosure property, minus (2) certain “excess” non-cash income as defined in the Code. These distributions must be paid in the taxable year to which they relate, or in the following taxable year if such distributions are declared in October, November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December of the taxable year, are payable to shareholders of record on a specified date in any such month, and are actually paid before the end of January of the following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distributions are treated as both paid by us and received by our shareholders on December 31 of the year in which they are declared.</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Under the TCJA, for taxable years beginning after December 31, 2017, unless it elects otherwise, Brandywine’s deduction for net business interest expense will generally be limited to 30% of its adjusted taxable income, which is its taxable income computed without regard to business interest income or expense, net operating losses or the pass-through income deduction (and for taxable years before 2022, excludes depreciation and amortization). Any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interest deduction that is disallowed due to this limitation may be carried forward to future taxable years. If Brandywine, the Operating Partnership or the Subsidiary Partnerships (as defined below) are subject to this interest expense limitation, Brandywine’s REIT taxable income for a taxable year may be increased. Taxpayers that conduct certain real estate businesses may elect not to have this interest expense limitation apply to them,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provided that they use an alternative depreciation system to depreciate certain property. Each of Brandywine, the Operating Partnership and the Subsidiary Partnerships may be eligible to make this election. If any such entity makes this election, although it would not be subject to the interest expense limitation described above, its depreciation deductions may be reduced and, as a result, Brandywine’s REIT taxable income for a taxable year may be increased.</w:t>
      </w:r>
    </w:p>
    <w:p>
      <w:pPr>
        <w:spacing w:after="0" w:line="17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 the extent that we distribute at least 90%, but less than 100%, of our net taxable income, we will be subject to tax at ordinary corporate tax rates on the retained portion. In addition, we may elect to retain, rather than distribute our net long-term capital gains and pay tax on such gains. In this case, we would elect to have our shareholders include their proportionate share of such undistributed long-term capital gains in their income and receive a corresponding</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credit for their proportionate share of the tax paid by us. Our shareholders would then increase their adjusted basis in our shares by the difference between the amount included in their long-term capital gains and the tax deemed paid with respect to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64" w:name="page165"/>
    <w:bookmarkEnd w:id="164"/>
    <w:p>
      <w:pPr>
        <w:jc w:val="both"/>
        <w:spacing w:after="0" w:line="222" w:lineRule="auto"/>
        <w:rPr>
          <w:sz w:val="20"/>
          <w:szCs w:val="20"/>
          <w:color w:val="auto"/>
        </w:rPr>
      </w:pPr>
      <w:r>
        <w:rPr>
          <w:rFonts w:ascii="Times New Roman" w:cs="Times New Roman" w:eastAsia="Times New Roman" w:hAnsi="Times New Roman"/>
          <w:sz w:val="18"/>
          <w:szCs w:val="18"/>
          <w:color w:val="auto"/>
        </w:rPr>
        <w:t>If we should fail to distribute during each calendar year (or, in the case of distributions with declaration and record dates falling in the last three months of the calendar year, by the end of January following such calendar year) at least the sum of (1) 85% of our REIT ordinary income for such year, (2) 95%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REIT net capital gain income for such year and (3) any undistributed taxable income from prior periods, we would be subject to a 4% excise tax on the excess of such required distribution over the sum of (a) the amounts actually distributed plus (b) retained amounts on which corporate level tax is paid by us.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Brandywine intends to make timely distributions sufficient to satisfy the annual distribution requirements. In this regard, the limited partnership agreement of the Operating Partnership authorizes Brandywine, as general partner, to operate the partnership in a manner that will enable it to satisfy the REIT requirements and avoid the imposition of any federal income or excise tax liability. It is possible that we, from time to time, may not have sufficient cash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liquid assets to meet the 90% distribution requirement. This could arise, for example, when there is an expenditure of cash for nondeductible items such as principal amortization or capital expenditures. In addition, because we may deduct capital losses only to the extent of our capital gains, our REIT taxable income may exceed our economic income. In order to meet the 90% distribution requirement, we may borrow or may cause the Operating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Partnership to arrange for short-term or possibly long-term borrowing to permit the payment of required distributions, or we may pay dividends in the form of taxable in-kind distributions of property, including potentially, our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certain circumstances, Brandywine may be able to rectify a failure to meet the distribution requirement for a given year by paying “deficiency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dividends” to shareholders in a later year that may be included in Brandywine’s deduction for distributions paid for the earlier year. Thus, Brandywine may be able to avoid losing its REIT qualification or being taxed on amounts distributed as deficiency dividends. However, Brandywine will be required to pay to the IRS interest and a penalty based upon the amount of any deduction taken for deficiency dividends.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Failure to Qualify</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Code provides relief for many failures to satisfy the REIT requirements. In addition to the relief provisions for failures to satisfy the income and asset tests (discussed above), the Code provides additional relief for other failures to satisfy REIT requirements. If the failure is due to reasonable cause and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willful neglect, and we elect to pay a penalty of $50,000 for each failure, we can avoid the loss of our REIT status.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Brandywine fails to qualify for taxation as a REIT in any taxable year and the relief provisions do not apply, it will be subject to tax (including, for tax years beginning before January 1, 2018, any applicable corporate alternative minimum tax) on its taxable income at regular corporate rates. In addition,</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Brandywine may be subject to certain additional taxes under the Inflation Reduction Act of 2022 (the “Inflation Reduction Act”). The Inflation Reduction Act imposes a 15% corporate minimum tax, based on adjusted financial statement income of certain “applicable corporations.” The corporate minimum tax is effective for taxable years beginning after December 31, 2022. If Brandywine fails to qualify as a REIT, it may be subject to the 15% corporate minimum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if its 3-year average annual adjusted financial statement income exceeds $1 billion. Further, the Inflation Reduction Act imposes an excise tax of 1% on the fair market value of net stock repurchases (and economically similar transactions) in excess of stock issuances made by publicly-traded corporations. This excise tax is effective on stock repurchases (and economically similar transactions) made after December 31, 2022, and would also apply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Brandywine fails to qualify as a REIT.</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Distributions to shareholders in any year in which Brandywine fails to qualify will not be deductible to us. In such event, to the extent of Brandywine’s current and accumulated earnings and profits, all distributions to shareholders will be taxable to them as dividends, and, subject to certain limitations of the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Code, corporate distributees may be eligible for the dividends received deduction. Under current law, such dividends will generally be taxable to individual domestic shareholders at the 20% rate for qualified dividends provided that applicable holding period requirements are met. Non-corporate shareholders, including individuals, generally may deduct up to 20% of dividends from a REIT, other than capital gain dividends and dividends treated as qualified dividend income, for taxable years beginning after December 31, 2017 and before January 1, 2026 for purposes of determining their U.S. federal income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(but not for purposes of the 3.8% Medicare tax), subject to certain limitations. If we fail to qualify as a REIT, such shareholders may not claim this deduction with respect to dividends paid by us. Unless entitled to relief under specific statutory provisions, Brandywine also will be disqualified from taxation as a REIT for the four taxable years following the year during which qualification was lost. It is not possible to state whether in all circumstances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Brandywine would be entitled to such statutory relief.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Prohibited Transactions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derived from a prohibited transaction is subject to a 100% tax. The term “prohibited transaction” generally includes a sale or other disposition of property (other than foreclosure property) that is held primarily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65" w:name="page166"/>
    <w:bookmarkEnd w:id="165"/>
    <w:p>
      <w:pPr>
        <w:spacing w:after="0" w:line="222" w:lineRule="auto"/>
        <w:rPr>
          <w:sz w:val="20"/>
          <w:szCs w:val="20"/>
          <w:color w:val="auto"/>
        </w:rPr>
      </w:pPr>
      <w:r>
        <w:rPr>
          <w:rFonts w:ascii="Times New Roman" w:cs="Times New Roman" w:eastAsia="Times New Roman" w:hAnsi="Times New Roman"/>
          <w:sz w:val="18"/>
          <w:szCs w:val="18"/>
          <w:color w:val="auto"/>
        </w:rPr>
        <w:t>sale to customers in the ordinary course of a trade or business. Under existing law, whether property is held as inventory or primarily for sale to customers in the ordinary course of a trade or business is a question of fact that depends on all the facts and circumstances of a particular transaction. A safe harbor to</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characterization of the sale of property by a REIT as a prohibited transaction and the 100% prohibited transaction tax is available if the following requirements are met:</w:t>
      </w:r>
    </w:p>
    <w:p>
      <w:pPr>
        <w:spacing w:after="0" w:line="211" w:lineRule="exact"/>
        <w:rPr>
          <w:sz w:val="20"/>
          <w:szCs w:val="20"/>
          <w:color w:val="auto"/>
        </w:rPr>
      </w:pPr>
    </w:p>
    <w:p>
      <w:pPr>
        <w:ind w:left="840" w:hanging="454"/>
        <w:spacing w:after="0"/>
        <w:tabs>
          <w:tab w:leader="none" w:pos="8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has held the property for not less than two years;</w:t>
      </w:r>
    </w:p>
    <w:p>
      <w:pPr>
        <w:spacing w:after="0" w:line="387" w:lineRule="exact"/>
        <w:rPr>
          <w:rFonts w:ascii="Times New Roman" w:cs="Times New Roman" w:eastAsia="Times New Roman" w:hAnsi="Times New Roman"/>
          <w:sz w:val="18"/>
          <w:szCs w:val="18"/>
          <w:color w:val="auto"/>
        </w:rPr>
      </w:pPr>
    </w:p>
    <w:p>
      <w:pPr>
        <w:ind w:left="860" w:right="740" w:hanging="474"/>
        <w:spacing w:after="0" w:line="237" w:lineRule="auto"/>
        <w:tabs>
          <w:tab w:leader="none" w:pos="8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capital expenditures made by the REIT, or any partner of the REIT, during the two-year period preceding the date of the sale that are includable in the basis of the property do not exceed 30% of the selling price of the property;</w:t>
      </w:r>
    </w:p>
    <w:p>
      <w:pPr>
        <w:spacing w:after="0" w:line="374" w:lineRule="exact"/>
        <w:rPr>
          <w:rFonts w:ascii="Times New Roman" w:cs="Times New Roman" w:eastAsia="Times New Roman" w:hAnsi="Times New Roman"/>
          <w:sz w:val="18"/>
          <w:szCs w:val="18"/>
          <w:color w:val="auto"/>
        </w:rPr>
      </w:pPr>
    </w:p>
    <w:p>
      <w:pPr>
        <w:ind w:left="860" w:right="480" w:hanging="474"/>
        <w:spacing w:after="0" w:line="220" w:lineRule="auto"/>
        <w:tabs>
          <w:tab w:leader="none" w:pos="8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during the year in question, the REIT did not make more than seven sales of property other than foreclosure property or sales to which Section 1033 of the Code applies, (2) the aggregate adjusted bases of all such properties sold by the REIT during the year did not exceed 10% of the aggregate bases of all of the assets of the REIT at the beginning of the year or (3) the aggregate fair market value of all such properties sold by the REIT during the year did not exceed 10% of the aggregate fair market value of all of the assets of the REIT at the beginning of the year;</w:t>
      </w:r>
    </w:p>
    <w:p>
      <w:pPr>
        <w:spacing w:after="0" w:line="360" w:lineRule="exact"/>
        <w:rPr>
          <w:rFonts w:ascii="Times New Roman" w:cs="Times New Roman" w:eastAsia="Times New Roman" w:hAnsi="Times New Roman"/>
          <w:sz w:val="18"/>
          <w:szCs w:val="18"/>
          <w:color w:val="auto"/>
        </w:rPr>
      </w:pPr>
    </w:p>
    <w:p>
      <w:pPr>
        <w:ind w:left="860" w:right="520" w:hanging="474"/>
        <w:spacing w:after="0" w:line="250" w:lineRule="auto"/>
        <w:tabs>
          <w:tab w:leader="none" w:pos="8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property not acquired through foreclosure or lease termination, the REIT has held the property for at least two years for the production of rental income; and</w:t>
      </w:r>
    </w:p>
    <w:p>
      <w:pPr>
        <w:spacing w:after="0" w:line="351" w:lineRule="exact"/>
        <w:rPr>
          <w:rFonts w:ascii="Times New Roman" w:cs="Times New Roman" w:eastAsia="Times New Roman" w:hAnsi="Times New Roman"/>
          <w:sz w:val="18"/>
          <w:szCs w:val="18"/>
          <w:color w:val="auto"/>
        </w:rPr>
      </w:pPr>
    </w:p>
    <w:p>
      <w:pPr>
        <w:jc w:val="both"/>
        <w:ind w:left="860" w:right="720" w:hanging="474"/>
        <w:spacing w:after="0" w:line="231" w:lineRule="auto"/>
        <w:tabs>
          <w:tab w:leader="none" w:pos="8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REIT has made more than seven sales of non-foreclosure property during the taxable year, substantially all of the marketing and development expenditures with respect to the property were made through an independent contractor from whom the REIT derives no income.</w:t>
      </w:r>
    </w:p>
    <w:p>
      <w:pPr>
        <w:spacing w:after="0" w:line="307" w:lineRule="exact"/>
        <w:rPr>
          <w:sz w:val="20"/>
          <w:szCs w:val="20"/>
          <w:color w:val="auto"/>
        </w:rPr>
      </w:pPr>
    </w:p>
    <w:p>
      <w:pPr>
        <w:jc w:val="both"/>
        <w:ind w:right="60"/>
        <w:spacing w:after="0" w:line="226" w:lineRule="auto"/>
        <w:rPr>
          <w:sz w:val="20"/>
          <w:szCs w:val="20"/>
          <w:color w:val="auto"/>
        </w:rPr>
      </w:pPr>
      <w:r>
        <w:rPr>
          <w:rFonts w:ascii="Times New Roman" w:cs="Times New Roman" w:eastAsia="Times New Roman" w:hAnsi="Times New Roman"/>
          <w:sz w:val="18"/>
          <w:szCs w:val="18"/>
          <w:color w:val="auto"/>
        </w:rPr>
        <w:t>Certain alternative tests for satisfying the rules contained in the safe harbor provisions, under which certain sales of real estate assets will not be treated as prohibited transactions, were added to the Code in 2015. We will attempt to comply with the terms of safe-harbor provisions in the federal income tax laws prescribing when an asset sale will not be characterized as a prohibited transaction.</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intend to hold properties for investment with a view to long-term appreciation, to engage in the business of acquiring, developing, owning and operating properties, and to make occasional sales of properties as are consistent with our investment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 can be given that any property that we sell will not be treated as property held for sale to customers, or that we can comply with certain safe-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harbor provisions of the Code that would prevent the imposition of the 100% tax. The 100% tax does not apply to gains from the sale of property that is held through a taxable REIT subsidiary or other taxable corporation, although such income will be subject to tax in the hands of that corporation at regular corporate tax rates.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Foreclosure Property</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Foreclosure property is real property (including interests in real property) and any personal property incident to such real property (1) that is acquired by a REIT as a result of the REIT having bid on the property at foreclosure, or having otherwise reduced the property to ownership or possession by agreement</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w:t>
      </w:r>
    </w:p>
    <w:p>
      <w:pPr>
        <w:spacing w:after="0" w:line="1" w:lineRule="exact"/>
        <w:rPr>
          <w:sz w:val="20"/>
          <w:szCs w:val="20"/>
          <w:color w:val="auto"/>
        </w:rPr>
      </w:pPr>
    </w:p>
    <w:p>
      <w:pPr>
        <w:jc w:val="both"/>
        <w:ind w:firstLine="8"/>
        <w:spacing w:after="0" w:line="218" w:lineRule="auto"/>
        <w:tabs>
          <w:tab w:leader="none" w:pos="2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such REIT makes an election to treat the property as foreclosure property. REITs generally are subject to tax at the maximum corporate rate (currently 21%)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4" w:right="3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Hedging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enter into hedging transactions with respect to one or more of our assets or liabilities. Hedging transactions could take a variety of forms, including</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 rate swaps or cap agreements, options, futures contracts, forward rate agreements or similar financial instruments. Except to the extent provided by Treasury regulations, any income from a hedging transaction (i) made in the normal course of our business primarily to manage risk of interest rate or price changes or currency fluctuations with respect to borrowings made or to be made, or ordinary obligations incurred or to be incurred by us to acquire or own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real estate assets or (ii) entered into primarily to manage the risk of currency fluctuations with respect to any item of income or gain that would be qualifying income under the 75% or 95% gross income tests (or any property which generates such income or gain), which is clearly identified as such before the close of the day on which it was acquired, originated or entered into, including gain from the disposition of such a transaction, will not constitute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gross income for purposes of the 95% gross income test and the 75% gross income test. To the extent we enter into other types of hedging transactions, the income from those transactions is likely to be treated as non-qualifying income for purposes of both the 75% and 95% gross income tests. We intend to structure any hedging transactions in a manner that does not jeopardize our ability to qualify as a REIT.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Brandywine has entered into a hedging transaction described in (i) or (ii), and a portion of the hedged indebtedness or property is extinguished or disposed of and, in connection with such extinguishment or disposition, Brandywine enters into a new clearly identified hedging transaction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Hedge</w:t>
      </w:r>
      <w:r>
        <w:rPr>
          <w:rFonts w:ascii="Times New Roman" w:cs="Times New Roman" w:eastAsia="Times New Roman" w:hAnsi="Times New Roman"/>
          <w:sz w:val="18"/>
          <w:szCs w:val="18"/>
          <w:color w:val="auto"/>
        </w:rPr>
        <w:t>”), income from the applicable hedge and income from the New Hedge (including gain from the disposition of such New Hedge) will not be treated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gross income for purposes of the 95% and 75% gross income tests.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Aspect of Investments in the Operating Partnership and the Subsidiary Partnerships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summarizes certain Federal income tax considerations applicable to Brandywine’s investment in the Operating Partnership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Operating Partnership’s investments in subsidiary partnerships, limited liability companies, and joint ventures (referred to collectively as the “</w:t>
      </w:r>
      <w:r>
        <w:rPr>
          <w:rFonts w:ascii="Times New Roman" w:cs="Times New Roman" w:eastAsia="Times New Roman" w:hAnsi="Times New Roman"/>
          <w:sz w:val="18"/>
          <w:szCs w:val="18"/>
          <w:b w:val="1"/>
          <w:bCs w:val="1"/>
          <w:color w:val="auto"/>
        </w:rPr>
        <w:t>Subsidiary Partnerships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hold investments through entities that are classified as partnerships for U.S. federal income tax purposes, including our interest in the Operating Partnership and the equity interests in the Subsidiary Partnerships. In general, partnerships are “pass-through” entities that are not subject to U.S. federal income tax. Rather, partners are allocated their proportionate shares of the items of income, gain, loss, deduction and credit of a partnership, and are subject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tax on these items without regard to whether the partners receive a distribution from the partnership. We will include in our income our proportionate share of these partnership items of the Operating Partnership and the Subsidiary Partnerships for purposes of the various REIT income tests and in the computation of our REIT taxable income. Moreover, for purposes of the REIT asset tests, we will include our proportionate share of assets held by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Operating Partnership and the Subsidiary Partnerships. Consequently, to the extent that we hold, directly or indirectly through another “pass-through” entity, an equity interest in a partnership, the partnership’s assets and operations may affect our ability to qualify as a REIT.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allocable share of deductions that Brandywine would receive are interest deductions of the Operating Partnership and its Subsidiary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Partnerships. Section 163(j) of the Code, as amended by the TCJA, limits a taxpayer’s interest expense deduction to the sum of 30% of adjusted taxable income, which is its taxable income computed without regard to business interest income or expense, net operating losses or the pass-through income deduction (and for taxable years before 2022, excludes depreciation and amortization), business interest, and certain other amounts. For partnerships,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interest deduction limitation is applied at the partnership level, subject to certain adjustments to the partners for unused deduction limitation at the partnership level.</w:t>
      </w:r>
    </w:p>
    <w:p>
      <w:pPr>
        <w:spacing w:after="0" w:line="15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TCJA allows a real property trade or business to elect out of this interest limitation so long as it depreciates depreciable real property (including certain improvements) held by it under the alternative depreciation system under the Code, which is generally less favorable than the generally applicable system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depreciation under the Code. The Operating Partnership has elected out of the limits on interest deductibility, starting with its 2022 taxable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Classification of the Operating Partnership and the Subsidiary Partnerships as Partnerships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by us in partnerships involves special tax considerations, including the possibility of a challenge by the IRS to the status of the Operating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Partnership or any of the Subsidiary Partnerships as a partnership, as opposed to an association taxable as a corporation, for U.S. federal income tax purposes. If any of these entities were treated as an association for U.S. federal income tax purposes, it would be taxable as a corporation and, therefore,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0" w:right="339" w:bottom="1440" w:gutter="0" w:footer="0" w:header="0"/>
        </w:sectPr>
      </w:pPr>
    </w:p>
    <w:bookmarkStart w:id="167" w:name="page168"/>
    <w:bookmarkEnd w:id="167"/>
    <w:p>
      <w:pPr>
        <w:jc w:val="both"/>
        <w:spacing w:after="0" w:line="222" w:lineRule="auto"/>
        <w:rPr>
          <w:sz w:val="20"/>
          <w:szCs w:val="20"/>
          <w:color w:val="auto"/>
        </w:rPr>
      </w:pPr>
      <w:r>
        <w:rPr>
          <w:rFonts w:ascii="Times New Roman" w:cs="Times New Roman" w:eastAsia="Times New Roman" w:hAnsi="Times New Roman"/>
          <w:sz w:val="18"/>
          <w:szCs w:val="18"/>
          <w:color w:val="auto"/>
        </w:rPr>
        <w:t>subject to an entity-level tax on its income. In such a situation, the character of our assets and items of our gross income would change and could preclude us from satisfying the REIT asset tests or the REIT income tests as discussed in “-Taxation of the Company-Asset Tests” and “-Taxation of the Company-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Income Tests” above, and in turn could prevent us from qualifying as a REIT. See “-Taxation of the Company -Failure to Qualify” above, for a discussion of the effect of our failure to meet these tests for a taxable year. In addition, any change in the status of any of the Operating Partnership and the Subsidiary Partnerships for tax purposes might be treated as a taxable event, in which case we could have taxable income that is subject to the REIT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without receiving any cash.</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Treasury regulations provide that a domestic business entity not otherwise organized as a corporation (an “</w:t>
      </w:r>
      <w:r>
        <w:rPr>
          <w:rFonts w:ascii="Times New Roman" w:cs="Times New Roman" w:eastAsia="Times New Roman" w:hAnsi="Times New Roman"/>
          <w:sz w:val="18"/>
          <w:szCs w:val="18"/>
          <w:b w:val="1"/>
          <w:bCs w:val="1"/>
          <w:color w:val="auto"/>
        </w:rPr>
        <w:t>Eligible Entity</w:t>
      </w:r>
      <w:r>
        <w:rPr>
          <w:rFonts w:ascii="Times New Roman" w:cs="Times New Roman" w:eastAsia="Times New Roman" w:hAnsi="Times New Roman"/>
          <w:sz w:val="18"/>
          <w:szCs w:val="18"/>
          <w:color w:val="auto"/>
        </w:rPr>
        <w:t>”) may elect to be treated as a partnership or disregarded entity for federal income tax purposes. Generally, an Eligible Entity will be classified as a partnership or disregarded entity</w:t>
      </w:r>
    </w:p>
    <w:p>
      <w:pPr>
        <w:jc w:val="both"/>
        <w:spacing w:after="0" w:line="208" w:lineRule="auto"/>
        <w:rPr>
          <w:sz w:val="20"/>
          <w:szCs w:val="20"/>
          <w:color w:val="auto"/>
        </w:rPr>
      </w:pPr>
      <w:r>
        <w:rPr>
          <w:rFonts w:ascii="Times New Roman" w:cs="Times New Roman" w:eastAsia="Times New Roman" w:hAnsi="Times New Roman"/>
          <w:sz w:val="18"/>
          <w:szCs w:val="18"/>
          <w:color w:val="auto"/>
        </w:rPr>
        <w:t>(depending on its number of owners) for federal income tax purposes unless it elects otherwise. The Operating Partnership and the Subsidiary Partnerships (other than those Subsidiary Partnerships that have elected to be treated as taxable REIT subsidiaries) intend to claim classification as partnerships or disregarded entities under these Treasury regulations. As a result, we believe that the Operating Partnership and the Subsidiary Partnerships (other than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those Subsidiary Partnerships that have elected to be treated as taxable REIT subsidiaries) will be classified as partnerships or disregarded entities for U.S. federal income tax purposes. We have not requested and do not intend to request a ruling from the IRS that the Operating Partnership or the Subsidiary Partnerships will be classified as partnerships for U.S. federal income tax purposes.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 be partnerships for U.S. federal income tax purposes, the Operating Partnership and the Subsidiary Partnerships generally must not be “publicly traded partnerships.” A publicly traded partnership is a partnership whose interests are traded on an established securities market or are readily tradable on a secondary market (or a substantial equivalent). A publicly traded partnership is generally treated as a corporation for U.S. federal income tax purposes, but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will not be so treated if, for each taxable year beginning after December 31, 1987 in which it was classified as a publicly traded partnership, at least 90% of the partnership’s gross income consisted of specified passive income, including real property rents (which includes rents that would be qualifying income for purposes of the 75% gross income test, with certain modifications that make it easier for the rents to qualify for the 90% passive income exception),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from the sale or other disposition of real property, interest, and dividends (the “90% passive income exception”).</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Treasury regulations provide limited safe harbors from treatment as a publicly traded partnership. We expect that the Operating Partnership and the Subsidiary Partnerships will fall within one of the “safe harbors” for the partnership to avoid being classified as a publicly traded partnership. However,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ability to satisfy the requirements of some of these safe harbors depends on the results of the actual operations of the relevant entities and accordingly no assurance can be given that any such partnership would not be treated as a publicly traded partnership. Even if a partnership failed to meet one of the safe harbors, it generally will not be treated as a corporation if it qualifies for the 90% passive income exception discussed immediately above.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Partnership Allocations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which require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partnership allocations respect the economic arrangement of the partners. If an allocation is not recognized for U.S.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Operating Partnership’s allocations of</w:t>
      </w:r>
    </w:p>
    <w:p>
      <w:pPr>
        <w:spacing w:after="0" w:line="2" w:lineRule="exact"/>
        <w:rPr>
          <w:sz w:val="20"/>
          <w:szCs w:val="20"/>
          <w:color w:val="auto"/>
        </w:rPr>
      </w:pPr>
    </w:p>
    <w:p>
      <w:pPr>
        <w:ind w:right="120"/>
        <w:spacing w:after="0" w:line="442" w:lineRule="auto"/>
        <w:rPr>
          <w:sz w:val="20"/>
          <w:szCs w:val="20"/>
          <w:color w:val="auto"/>
        </w:rPr>
      </w:pPr>
      <w:r>
        <w:rPr>
          <w:rFonts w:ascii="Times New Roman" w:cs="Times New Roman" w:eastAsia="Times New Roman" w:hAnsi="Times New Roman"/>
          <w:sz w:val="18"/>
          <w:szCs w:val="18"/>
          <w:color w:val="auto"/>
        </w:rPr>
        <w:t xml:space="preserve">taxable income and loss are intended to comply with the requirements of Section 704(b) of the Code and the Treasury regulations promulgated thereunder. </w:t>
      </w:r>
      <w:r>
        <w:rPr>
          <w:rFonts w:ascii="Times New Roman" w:cs="Times New Roman" w:eastAsia="Times New Roman" w:hAnsi="Times New Roman"/>
          <w:sz w:val="18"/>
          <w:szCs w:val="18"/>
          <w:b w:val="1"/>
          <w:bCs w:val="1"/>
          <w:i w:val="1"/>
          <w:iCs w:val="1"/>
          <w:u w:val="single" w:color="auto"/>
          <w:color w:val="auto"/>
        </w:rPr>
        <w:t>Tax Allocations with Respect to Contributed Properties</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Pursuant to Section 704(c) of the Code, items of income, gain, loss and deduction attributable to appreciated or depreciated property that is contributed to a partnership in exchange for an interest in the partnership must be allocated for U.S. federal income tax purposes in a manner such that the contributor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charged with or benefits from the unrealized gain or unrealized loss associated with the property at the time of the contribution. The amount of such unrealized gain or unrealized loss is generally equal to the difference between the fair market value of the contributed property at the time of contribution and the adjusted tax basis of such property at the time of contribution. Such allocations are solely for federal income tax purposes and do not affect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or legal arrangements among the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68" w:name="page169"/>
    <w:bookmarkEnd w:id="168"/>
    <w:p>
      <w:pPr>
        <w:jc w:val="both"/>
        <w:spacing w:after="0" w:line="222" w:lineRule="auto"/>
        <w:rPr>
          <w:sz w:val="20"/>
          <w:szCs w:val="20"/>
          <w:color w:val="auto"/>
        </w:rPr>
      </w:pPr>
      <w:r>
        <w:rPr>
          <w:rFonts w:ascii="Times New Roman" w:cs="Times New Roman" w:eastAsia="Times New Roman" w:hAnsi="Times New Roman"/>
          <w:sz w:val="18"/>
          <w:szCs w:val="18"/>
          <w:color w:val="auto"/>
        </w:rPr>
        <w:t>Our Operating Partnership has entered into transactions involving the contribution to the Operating Partnership of appreciated property, and the Operating Partnership may enter into such transactions in the future. The partnership agreement of the Operating Partnership requires allocations of income, gain, loss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deduction attributable to contributed property to be made in a manner that is consistent with Section 704(c) of the Code. Treasury regulations issued under Section 704(c) give partnerships a choice of several methods of allocating taxable income with respect to contributed properties. Depending upon the method chosen, (1) our tax depreciation deductions attributable to those properties may be lower than they would have been if our Operating Partnership</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had acquired those properties for cash and (2) in the event of a sale of such properties, we could be allocated gain in excess of our corresponding economic or book gain. These allocations may cause us to recognize taxable income in excess of cash proceeds received by us, which might adversely affect our ability to comply with the REIT distribution requirements or result in our shareholders recognizing additional dividend income without an increase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Depreciation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Partnership’s assets include a substantial amount of appreciated property contributed by its partners. Assets contributed to a partnership in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tax-free transaction generally retain the same depreciation method and recovery period as they had in the hands of the partner who contributed them to the partnership. Accordingly, a substantial amount of the Operating Partnership’s depreciation deductions for its real property are based on the historic tax depreciation schedules for the properties prior to their contribution to the Operating Partnership. The properties are being depreciated over a range of years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using various methods of depreciation which were determined at the time that each item of depreciable property was placed in service. In certain instances where a partnership interest rather than real property is contributed to the Partnership, the real property may not carry over its recovery period but rather may, similarly, be subject to the lengthier recovery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in Operating Partnership Interest</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adjusted tax basis in each of the partnerships in which we have an interest generally (1) will be equal to the amount of cash and the basis of any other property contributed to such partnership by us, (2) will be increased by (a) our allocable share of such partnership’s income and (b) our allocable share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any indebtedness of such partnership, and (3) will be reduced, but not below zero, by our allocable share of (a) such partnership’s loss and (b) the amount of cash and the tax basis of any property distributed to us and by constructive distributions resulting from a reduction in our share of indebtedness of such partnership.</w:t>
      </w:r>
    </w:p>
    <w:p>
      <w:pPr>
        <w:spacing w:after="0" w:line="1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If our allocable share of the loss (or portion thereof) of any partnership in which we have an interest would reduce the adjusted tax basis of our partnership interest in such partnership below zero, the recognition of such loss will be deferred until such time as the recognition of such loss (or portion thereof) would not reduce our adjusted tax basis below zero. To the extent that distributions to us from a partnership, or any decrease in our share of the nonrecourse</w:t>
      </w:r>
    </w:p>
    <w:p>
      <w:pPr>
        <w:jc w:val="both"/>
        <w:spacing w:after="0" w:line="208" w:lineRule="auto"/>
        <w:rPr>
          <w:sz w:val="20"/>
          <w:szCs w:val="20"/>
          <w:color w:val="auto"/>
        </w:rPr>
      </w:pPr>
      <w:r>
        <w:rPr>
          <w:rFonts w:ascii="Times New Roman" w:cs="Times New Roman" w:eastAsia="Times New Roman" w:hAnsi="Times New Roman"/>
          <w:sz w:val="18"/>
          <w:szCs w:val="18"/>
          <w:color w:val="auto"/>
        </w:rPr>
        <w:t>indebtedness of a partnership (each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would be characterized as long-term capital gain if our interest in such partnership has been held for longer than the long-term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gain holding period (currently 12 months).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 of Partnership Property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any gain realized by a partnership on the sale of property held by the partnership for more than 12 months will be long-term capital gain, except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for any portion of such gain that is treated as depreciation or cost recovery recapture. However, under requirements applicable to REITs under the Code, our share as a partner of any gain realized by the Operating Partnership on the sale of any property held as inventory or other property held primarily for sale to customers in the ordinary course of a trade or business will be treated as income from a prohibited transaction that is subject to a 100% penalty tax. See -Taxation of the Company-Prohibited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Partnership Audit Rules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Under the rules applicable to the federal income tax audits of partnerships (such as the Operating Partnership), a partnership itself may be liable for a tax computed by reference to the hypothetical increase in partner-level taxes (including interest and penalties) resulting from an adjustment of partnership tax</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items on audit, regardless of changes in the composition of the partners (or their relative ownership) between the year under audit and the year of the adjustment. The applicable rules also include an elective alternative method under which the additional taxes resulting from the adjustment are assessed against the affected partners, subject to a higher rate of interest than otherwise would apply. These rules could result in partnerships in which we directly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indirectly invest being required to pay additional taxes, interest and penalties as a result of an audit adjustment, and we, as a direct or indirect partner of those partnerships could be required to bear the economic burden of those taxes,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69" w:name="page170"/>
    <w:bookmarkEnd w:id="169"/>
    <w:p>
      <w:pPr>
        <w:spacing w:after="0" w:line="237" w:lineRule="auto"/>
        <w:rPr>
          <w:sz w:val="20"/>
          <w:szCs w:val="20"/>
          <w:color w:val="auto"/>
        </w:rPr>
      </w:pPr>
      <w:r>
        <w:rPr>
          <w:rFonts w:ascii="Times New Roman" w:cs="Times New Roman" w:eastAsia="Times New Roman" w:hAnsi="Times New Roman"/>
          <w:sz w:val="18"/>
          <w:szCs w:val="18"/>
          <w:color w:val="auto"/>
        </w:rPr>
        <w:t>penalties even though we, as a REIT, may not otherwise have been required to pay additional corporate-level taxes as a result of the related audit adjustment. Investors are urged to consult with their tax advisors with respect to those changes and their potential impact on their investment in our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a “U.S. Shareholder” means a beneficial owner of our common shares or preferred shares that is, for U.S. federal income tax purposes:</w:t>
      </w:r>
    </w:p>
    <w:p>
      <w:pPr>
        <w:spacing w:after="0" w:line="185" w:lineRule="exact"/>
        <w:rPr>
          <w:sz w:val="20"/>
          <w:szCs w:val="20"/>
          <w:color w:val="auto"/>
        </w:rPr>
      </w:pPr>
    </w:p>
    <w:p>
      <w:pPr>
        <w:ind w:left="440" w:hanging="108"/>
        <w:spacing w:after="0"/>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 w:lineRule="exact"/>
        <w:rPr>
          <w:rFonts w:ascii="Times New Roman" w:cs="Times New Roman" w:eastAsia="Times New Roman" w:hAnsi="Times New Roman"/>
          <w:sz w:val="18"/>
          <w:szCs w:val="18"/>
          <w:color w:val="auto"/>
        </w:rPr>
      </w:pPr>
    </w:p>
    <w:p>
      <w:pPr>
        <w:ind w:left="660" w:hanging="328"/>
        <w:spacing w:after="0" w:line="203" w:lineRule="auto"/>
        <w:tabs>
          <w:tab w:leader="none" w:pos="45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w:t>
      </w:r>
    </w:p>
    <w:p>
      <w:pPr>
        <w:ind w:left="440" w:hanging="108"/>
        <w:spacing w:after="0" w:line="219" w:lineRule="auto"/>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ind w:left="660" w:right="20" w:hanging="328"/>
        <w:spacing w:after="0" w:line="226" w:lineRule="auto"/>
        <w:tabs>
          <w:tab w:leader="none" w:pos="4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(a) is subject to the primary supervision of a court within the U.S. and one or more U.S. persons have the authority to control all substantial decisions of the trust or (b) has a valid election in effect under applicable U.S. Treasury regulations to be treated as a U.S. person.</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used herein, a “non-U.S. Shareholder” means a beneficial owner of our common shares or preferred shares that is not a “U.S. Shareholder” and that is not a partnership (or other entity treated as a partnership for U.S. federal income tax purposes).</w:t>
      </w:r>
    </w:p>
    <w:p>
      <w:pPr>
        <w:spacing w:after="0" w:line="14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a partnership (or other arrangement treated as a partnership for U.S. federal income tax purposes) holds common shares or preferred shares, the tax treatment of a partner will generally depend upon the status of the partner and the activities of the partnership. If you are a partnership or a partner of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partnership holding common shares or preferred shares, you should consult your tax advisor with regard to the U.S. federal, state, local and non-U.S. tax consequences particular to your purchase, ownership and disposition of our common shares or preferred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Taxation of Ordinary Dividends on Shares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long as Brandywine qualifies as a REIT, distributions made to Brandywine’s taxable U.S. Shareholders out of current or accumulated earnings and profits (and not designated as capital gain dividends) (“</w:t>
      </w:r>
      <w:r>
        <w:rPr>
          <w:rFonts w:ascii="Times New Roman" w:cs="Times New Roman" w:eastAsia="Times New Roman" w:hAnsi="Times New Roman"/>
          <w:sz w:val="18"/>
          <w:szCs w:val="18"/>
          <w:b w:val="1"/>
          <w:bCs w:val="1"/>
          <w:color w:val="auto"/>
        </w:rPr>
        <w:t>Ordinary Dividends</w:t>
      </w:r>
      <w:r>
        <w:rPr>
          <w:rFonts w:ascii="Times New Roman" w:cs="Times New Roman" w:eastAsia="Times New Roman" w:hAnsi="Times New Roman"/>
          <w:sz w:val="18"/>
          <w:szCs w:val="18"/>
          <w:color w:val="auto"/>
        </w:rPr>
        <w:t>”) will be dividends taxable to such U.S. Shareholders as ordinary income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will not be eligible for the dividends received deduction for corporations. However, for taxable years prior to 2026, individual shareholders generally are allowed to deduct 20% of the aggregate amount of Ordinary Dividends distributed by us that are “qualified REIT dividends,” subject to certain limitations. Pursuant to the Treasury regulations, in order for a dividend paid by a REIT to be eligible to be treated as a “qualified REIT dividend,” the shareholder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must meet two holding period-related requirements. First, the shareholder must hold the REIT shares for a minimum of 46 days during the 91-day period that begins 45 days before the date on which the REIT share becomes ex-dividend with respect to the dividend. Second, the qualifying portion of the REIT dividend is reduced to the extent that the shareholder is under an obligation (whether pursuant to a short sale or otherwise) to make related payments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respect to positions in substantially similar or related property. The 20% deduction does not apply to REIT capital gain dividends or to REIT dividends that we designate as “qualified dividend income.” Like most of the other changes made by the TCJA applicable to non-corporate taxpayers, the 20% deduction will expire on December 31, 2025 unless Congress acts to extend it. Prospective investors should consult their tax advisors concerning these limitations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to deduct all or a portion of dividends received on shares of our common shares or preferred shares.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Dividends received from REITs are generally not eligible for taxation at the preferential rates for qualified dividends received by individual shareholders. We may designate a distribution as qualified dividend income to the extent of (1) qualified dividend income we receive during the current year (for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example, dividends received from our taxable REIT subsidiaries), plus (2) income on which we have been subject to corporate level tax during the prior year (for example, undistributed REIT taxable income), plus (3) any income attributable to the sale of a built in gain asset that was acquired from a C corporation in a carry-over basis transaction less the tax paid on that income. To the extent that we designate a dividend as qualified dividend income, an individual will be taxable at preferential rates (currently a 20% maximum federal rate, but see the discussion below “Taxation of Taxable U.S.</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Shareholders-Tax Rates Applicable to Individual Shareholders under the TCJA” be certain holding period requirements are met. However, we expect that ordinary dividends paid by Brandywine generally will not be eligible for treatment as qualified dividend income to any significant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Gain Distributions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that are designated as long-term capital gain dividends will be taxed as long-term capital gains (to the extent they do not exceed our actual net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capital gain for the taxable year) without regard to the period for which the U.S. Shareholder has held its shares of beneficial interest. In general, U.S. Shareholders will be taxable on long-term capital gains, currently at a maximum rate of 20% (but see the discussion below “Taxation of Taxable U.S. Shareholders-Tax Rates Applicable to Individual Shareholders under the TCJA” below), except that the portion of such gain that is attributable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depreciation recapture will be taxable at the maximum rate of 25%. However, corporate shareholders may be required to treat up to 20% of certain capital gain dividends as ordinary income.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elect under the applicable provisions of the Code to retain and pay tax on our net capital gains. In such event U.S. Shareholders will be taxable on</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U.S. Shareholders’ proportionate share of such undistributed capital gains. Each U.S. Shareholder would then receive a credit, for use on their return, in the amount of the U.S. Shareholders’ proportionate share of the capital gains tax paid by us. If the credit results in an amount owed to a U.S. Shareholder, such U.S. Shareholder would receive a refund. A U.S. Shareholder’s basis in our shares will be increased by the amount of the shareholder’s allocable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retained capital gains less the shareholder’s allocable share of the tax paid by us on such capital gains.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Dividends Generally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for distributions paid and treated as being paid in taxable years beginning after December 31, 2015, the aggregate amount of dividends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Brandywine may designate as “capital gain dividends” or “qualified dividend income” with respect to any taxable year may not exceed the dividends paid by Brandywine with respect to such taxable year, including dividends that are paid in the following taxable year and treated as having been paid with respect to such taxable year by being (1) declared before Brandywine timely files its tax return for such taxable year and (2) paid with or before the first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dividend payment after such declaration.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Non-Dividend Distributions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in excess of current and accumulated earnings and profits (“</w:t>
      </w:r>
      <w:r>
        <w:rPr>
          <w:rFonts w:ascii="Times New Roman" w:cs="Times New Roman" w:eastAsia="Times New Roman" w:hAnsi="Times New Roman"/>
          <w:sz w:val="18"/>
          <w:szCs w:val="18"/>
          <w:b w:val="1"/>
          <w:bCs w:val="1"/>
          <w:color w:val="auto"/>
        </w:rPr>
        <w:t>Non-Dividend Distributions</w:t>
      </w:r>
      <w:r>
        <w:rPr>
          <w:rFonts w:ascii="Times New Roman" w:cs="Times New Roman" w:eastAsia="Times New Roman" w:hAnsi="Times New Roman"/>
          <w:sz w:val="18"/>
          <w:szCs w:val="18"/>
          <w:color w:val="auto"/>
        </w:rPr>
        <w:t>”) will not be taxable to a U.S. Shareholder to the</w:t>
      </w:r>
    </w:p>
    <w:p>
      <w:pPr>
        <w:spacing w:after="0" w:line="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extent that they do not exceed the adjusted basis of the U.S. Shareholder’s shares, but rather will reduce the adjusted basis of such shares. To the extent that Non-Dividend Distributions exceed the adjusted basis of a U.S. Shareholder’s shares, such distributions will be included in income as long-term capital gain (or short-term capital gain, generally, if the shares have been held for 12 months or less) assuming the shares are a capital asset in the hands of the 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 In determining the extent to which a distribution on our shares constitutes a dividend for tax purposes, the earnings and profits of Brandywine will be allocated first to distributions with respect to the preferred shares and second to distributions with respect to common shares. Therefore, depending on our earnings and profits, distributions with respect to the preferred shares (as compared to distributions with respect to our common shares) are more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likely to be treated as dividends than as a return of capital or a distribution in excess of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Dividends Paid in Common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allowed to satisfy the REIT distribution requirements with respect to certain taxable years by distributing a significant portion of our dividends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form of common shares rather than cash. In the event that we pay a portion of a dividend in common shares, taxable U.S. Shareholders generally would be required to pay tax on the full amount of the dividend (including the fair market value of any common shares received) and the amount of the tax may exceed the amount of cash received. For taxable years prior to 2026, individual shareholders generally are allowed to deduct 20% of the aggregate amount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ordinary dividends distributed by us, subject to certain limitations.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Timing of Distributions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Any distribution declared by us in October, November or December of any year payable to a shareholder of record on a specified date in any such month shall be treated as both paid by Brandywine and received by the shareholder on December 31 of such year, provided that the distribution is actually paid by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Brandywine not later than the end of January of the following calendar year. Shareholders may not include in their individual income tax returns any of Brandywine’s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 or Exchange of Common and Preferred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a U.S. Shareholder will recognize capital gain or loss on the disposition of common or preferred shares equal to the difference between the sales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price for such shares and the adjusted tax basis for such shares. In general, a U.S. Shareholder’s adjusted tax basis will equal the U.S. Shareholder’s acquisition cost, increased by the U.S. Shareholder’s allocable share of any retained capital gains, less the U.S. Shareholder’s allocable share of the tax paid by us on such retained capital gains, and reduced by Non-Dividend Distributions.</w:t>
      </w:r>
    </w:p>
    <w:p>
      <w:pPr>
        <w:spacing w:after="0" w:line="1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 general, capital gains recognized by individuals and other non-corporate U.S. Shareholders upon the sale or disposition of shares of our shares currently will be subject to a maximum U.S. federal income tax rate of 20%, if our shares are held for more than 12 months, and will be taxed at ordinary income rates of up to 37% (but see the discussion below “Taxation of Taxable U.S. Shareholders-Tax Rates Applicable to Individual Shareholders under the TCJA”</w:t>
      </w:r>
    </w:p>
    <w:p>
      <w:pPr>
        <w:jc w:val="both"/>
        <w:spacing w:after="0" w:line="226" w:lineRule="auto"/>
        <w:rPr>
          <w:sz w:val="20"/>
          <w:szCs w:val="20"/>
          <w:color w:val="auto"/>
        </w:rPr>
      </w:pPr>
      <w:r>
        <w:rPr>
          <w:rFonts w:ascii="Times New Roman" w:cs="Times New Roman" w:eastAsia="Times New Roman" w:hAnsi="Times New Roman"/>
          <w:sz w:val="18"/>
          <w:szCs w:val="18"/>
          <w:color w:val="auto"/>
        </w:rPr>
        <w:t>regarding the sunset of the 37% rate) if our shares are held for 12 months or less. Gains recognized by U.S. Shareholders that are corporations are subject to U.S. federal income tax at a rate of 21%, whether or not classified as long-term capital gains.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losses recognized by a U.S. Shareholder upon the disposition of our shares held for more than one year at the time of disposition will be considered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long-term capital losses, and are generally available only to offset capital gain income of the U.S. Shareholder but not ordinary income (except in the case of individuals, who may offset up to $3,000 of ordinary income each year). However, any loss upon a sale or exchange of shares by a U.S. Shareholder who has held such shares for six months or less (after applying certain holding period rules) will be treated as a long-term capital loss to the extent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has received distributions from us required to be treated as long-term capital gain.</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a U.S. Shareholder recognizes a loss upon a subsequent disposition of our shares in an amount that exceeds a prescribed threshold, it is possible that the provisions of Treasury regulations involving “reportable transactions” could apply, with a resulting requirement to separately disclose the loss generating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transactions to the IRS. While these regulations are directed towards “tax shelters,” they are written broadly, and apply to transactions that would not typically be considered tax shelters. Significant penalties apply for failure to comply with these requirements. You should consult your tax advisor concerning any possible disclosure obligation with respect to the receipt or disposition of our shares, or transactions that might be undertaken directly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indirectly by us. Moreover, you should be aware that we and other participants in transactions involving us (including our advisors) might be subject to disclosure or other requirements pursuant to these regulations.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Medicare Tax on Investment Income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Certain U.S. Shareholders who are individuals, estates or trusts and whose income exceeds certain thresholds must pay a 3.8% Medicare tax on “net investment income” which includes, among other things, dividends on shares, interest on debt securities and capital gains from the sale or other disposition of shares or debt securities, subject to certain exceptions. The temporary 20% deduction allowed by Section 199A of the Code, as added by the TCJA, with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respect to ordinary REIT dividends received by non-corporate taxpayers is allowed only for purposes of Chapter 1 of the Code and thus is apparently not allowed as a deduction allocable to such dividends for purposes of determining the amount of net investment income subject to the 3.8% Medicare tax, which is imposed under Chapter 2A of the Code. Prospective investors should consult their tax advisors regarding the effect, if any, of this legislation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ownership and disposition of our common shares, preferred shares or debt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Passive Activity Losses and Investment Interest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from us and gain from the disposition of shares will not be treated as passive activity income and, therefore, U.S. Shareholders will not be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able to apply any “passive losses” against such income. Distributions from us (to the extent they do not constitute a return of capital or capital gain dividends) will generally be treated as investment income for purposes of the investment interest limitation. A shareholder may elect to treat capital gain dividends and capital gains from the disposition of shares as investment income for purposes of the investment interest limitation, but in such event a shareholder will be taxed at ordinary income rates on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4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Redemption of Preferred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preferred shares are redeemable by us under certain circumstances. A redemption of preferred shares will be treated under Section 302 of the Code as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distribution taxable as a dividend (to the extent of our current and accumulated earnings and profits) at ordinary income rates, unless the redemption satisfies one of the tests set forth in Section 302(b) of the Code and is therefore treated as a sale or exchange of the redeemed shares. The redemption will be treated as a sale or exchange if it (i) is “substantially disproportionate” with respect to the U.S. Shareholder, (ii) results in a “complete termination”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U.S. Shareholder’s share interest in our company or (iii) is “not essentially equivalent to a dividend” with respect to the U.S. Shareholder, all within the meaning of Section 302(b) of the Code.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whether any of these tests has been met, there must be taken into account not only any preferred shares owned by the U.S. Shareholder, but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also such U.S. Shareholder’s ownership of our common shares, other series of preferred shares and any options to acquire any of the foregoing. The U.S. Shareholder also must take into account any such securities (including options) which are considered to be owned by such holder by reason of the constructive ownership rules set forth in Sections 318 and 302(c) of the Code. If a particular U.S. Shareholder owns (actually or constructively) no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common shares or an insubstantial percentage of common shares or preferred shares, based upon current law, it is probable that the redemption of the preferred shares from such holder would be considered “not essentially equivalent to a dividend.” However, because the determination as to whether any of the alternative tests of Section 302(b) of the Code will be satisfied with respect to any particular holder of preferred shares depends upon the facts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circumstances at the time the determination must be made, prospective holders of preferred shares are advised to consult their own tax advisors to determine such tax treatment.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redemption of preferred shares is not treated as a distribution taxable as a dividend to a particular U.S. Shareholder, it will be treated as a taxable sale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exchange by that U.S. Shareholder. As a result, the U.S. Shareholder will recognize gain or loss for U.S. federal income tax purposes in an amount equal to the difference between (i) the amount of cash and the fair market value of any property received (less any portion thereof attributable to accumulated and declared but unpaid dividends, which will be taxable as a dividend to the extent of our current and accumulated earnings and profits) and (ii) the U.S.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Shareholder’s adjusted tax basis in the shares. Such gain or loss will be capital gain or loss if the shares were held as a capital asset, and will be long-term gain or loss if such shares were held for more than one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redemption is treated as a distribution taxable as a dividend, the amount of the distribution will be measured by the amount of cash and the fair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market value of any property received by the U.S. Shareholder. The U.S. Shareholder’s adjusted tax basis in the preferred shares redeemed will be transferred to any other shareholdings of the U.S. Shareholder in Brandywine. If the U.S. Shareholder of the preferred shares owns no other shares, under certain circumstances, such basis may be transferred to a related person, or it may be lost entirely.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Information Reporting and Backup Withholding Applicable to U.S. Shareholders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general, Brandywine will report to its U.S. Shareholders and the IRS the amount of distributions paid (unless the U.S. Shareholder establishes that it is an exempt recipient) during each calendar year, and the amount of tax withheld, if any. Under the backup withholding rules, a U.S. Shareholder may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backup withholding at the rate of 24% with respect to distributions paid unless such U.S. Shareholder (a) comes within certain exempt categories and, when required, demonstrates this fact, or (b) provides a taxpayer identification number, certifies as to no loss of exemption from backup withholding and otherwise complies with applicable requirements of the backup withholding rules. A U.S. Shareholder that does not provide us with their correct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taxpayer identification number may also be subject to penalties imposed by the IRS. In addition, we may be required to withhold a portion of capital gain distributions to any U.S. Shareholder who fail to certify their non-foreign status to Brandywine. See “-Taxation of Non-U.S. Shareholders.” Backup withholding is not an additional tax. Any amounts withheld under the backup withholding rules may be allowed as a refund or a credit against the shareholder’s income tax liability, provided the required information is furnished to the IRS.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 Rates Applicable to Individual Shareholders under the TCJA</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Long-term capital gains (i.e., generally capital gains with respect to assets held for more than one year) and “qualified dividends” received by an individual generally are subject to federal income tax at a maximum rate of 20%. Short-term capital gains (i.e., generally capital gains with respect to assets held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one year or less) generally are subject to federal income tax at ordinary income rates. Because we are not generally subject to federal income tax on the portion of our REIT taxable income or capital gains distributed to our shareholders, our dividends generally are not eligible for the 20% maximum tax rate on qualified dividends. Instead, our ordinary dividends generally are taxed at the higher tax rates applicable to ordinary income, the maximum rate of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37% for tax years beginning after December 31, 2017 and before January 1, 2026. However, for taxable years beginning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0" w:right="339" w:bottom="1440" w:gutter="0" w:footer="0" w:header="0"/>
        </w:sectPr>
      </w:pPr>
    </w:p>
    <w:bookmarkStart w:id="173" w:name="page174"/>
    <w:bookmarkEnd w:id="173"/>
    <w:p>
      <w:pPr>
        <w:spacing w:after="0" w:line="222" w:lineRule="auto"/>
        <w:rPr>
          <w:sz w:val="20"/>
          <w:szCs w:val="20"/>
          <w:color w:val="auto"/>
        </w:rPr>
      </w:pPr>
      <w:r>
        <w:rPr>
          <w:rFonts w:ascii="Times New Roman" w:cs="Times New Roman" w:eastAsia="Times New Roman" w:hAnsi="Times New Roman"/>
          <w:sz w:val="18"/>
          <w:szCs w:val="18"/>
          <w:color w:val="auto"/>
        </w:rPr>
        <w:t>January 1, 2026, individual shareholders are generally allowed to deduct 20% of the aggregate amount of ordinary dividends distributed by us, subject to certain limitations, which would reduce the maximum marginal effective tax rate for individuals on the receipt of such ordinary dividends to 29.6%.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maximum tax rate for long-term capital gains and qualified dividends generally applies to:</w:t>
      </w:r>
    </w:p>
    <w:p>
      <w:pPr>
        <w:spacing w:after="0" w:line="153" w:lineRule="exact"/>
        <w:rPr>
          <w:sz w:val="20"/>
          <w:szCs w:val="20"/>
          <w:color w:val="auto"/>
        </w:rPr>
      </w:pPr>
    </w:p>
    <w:p>
      <w:pPr>
        <w:ind w:left="440" w:hanging="108"/>
        <w:spacing w:after="0"/>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long-term capital gains, if any, recognized on the disposition of our shares;</w:t>
      </w:r>
    </w:p>
    <w:p>
      <w:pPr>
        <w:ind w:left="460" w:hanging="128"/>
        <w:spacing w:after="0" w:line="219"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distributions designated as long-term capital gain dividends (except to the extent attributable to real estate depreciation, in which case such</w:t>
      </w:r>
    </w:p>
    <w:p>
      <w:pPr>
        <w:ind w:left="660"/>
        <w:spacing w:after="0" w:line="203" w:lineRule="auto"/>
        <w:rPr>
          <w:sz w:val="20"/>
          <w:szCs w:val="20"/>
          <w:color w:val="auto"/>
        </w:rPr>
      </w:pPr>
      <w:r>
        <w:rPr>
          <w:rFonts w:ascii="Times New Roman" w:cs="Times New Roman" w:eastAsia="Times New Roman" w:hAnsi="Times New Roman"/>
          <w:sz w:val="18"/>
          <w:szCs w:val="18"/>
          <w:color w:val="auto"/>
        </w:rPr>
        <w:t>distributions are subject to a 25% tax rate to such extent);</w:t>
      </w:r>
    </w:p>
    <w:p>
      <w:pPr>
        <w:ind w:left="440" w:hanging="108"/>
        <w:spacing w:after="0" w:line="204"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dividends attributable to dividends received by us from non-REIT corporations, such as taxable REIT subsidiaries; and</w:t>
      </w:r>
    </w:p>
    <w:p>
      <w:pPr>
        <w:ind w:left="440" w:hanging="108"/>
        <w:spacing w:after="0" w:line="219"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dividends to the extent attributable to income upon which we have paid corporate income tax (e.g., to the extent that we distribute less than 100%</w:t>
      </w:r>
    </w:p>
    <w:p>
      <w:pPr>
        <w:ind w:left="660"/>
        <w:spacing w:after="0"/>
        <w:rPr>
          <w:sz w:val="20"/>
          <w:szCs w:val="20"/>
          <w:color w:val="auto"/>
        </w:rPr>
      </w:pPr>
      <w:r>
        <w:rPr>
          <w:rFonts w:ascii="Times New Roman" w:cs="Times New Roman" w:eastAsia="Times New Roman" w:hAnsi="Times New Roman"/>
          <w:sz w:val="18"/>
          <w:szCs w:val="18"/>
          <w:color w:val="auto"/>
        </w:rPr>
        <w:t>of our taxable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Taxation of Tax-Exempt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tax-exempt entities, including qualified employee pension and profit sharing trusts and individual retirement accounts, generally are exempt from 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federal income taxation. However, they are subject to taxation on their unrelated business taxable income (“</w:t>
      </w:r>
      <w:r>
        <w:rPr>
          <w:rFonts w:ascii="Times New Roman" w:cs="Times New Roman" w:eastAsia="Times New Roman" w:hAnsi="Times New Roman"/>
          <w:sz w:val="18"/>
          <w:szCs w:val="18"/>
          <w:b w:val="1"/>
          <w:bCs w:val="1"/>
          <w:color w:val="auto"/>
        </w:rPr>
        <w:t>UBTI</w:t>
      </w:r>
      <w:r>
        <w:rPr>
          <w:rFonts w:ascii="Times New Roman" w:cs="Times New Roman" w:eastAsia="Times New Roman" w:hAnsi="Times New Roman"/>
          <w:sz w:val="18"/>
          <w:szCs w:val="18"/>
          <w:color w:val="auto"/>
        </w:rPr>
        <w:t>”). Distributions by us to a shareholder that is a tax-exempt entity should generally not constitute UBTI, as defined in Section 512(a) of the Code provided that the tax-exempt entity has not financed the acquisition of its shares with “acquisition indebtedness” within the meaning of the Code and the shares are not otherwise used in an unrelated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trade or business of the tax-exempt entity. Tax-exempt U.S. Shareholders that are social clubs, voluntary employee benefit associations, supplemental unemployment benefit trusts, and qualified group legal services plans exempt from U.S. federal income taxation under sections 501(c)(7), (c)(9), (c)(17) and (c)(20) of the Code, respectively, are subject to different UBTI rules, which generally will require them to characterize distributions from us as UBTI.</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certain circumstances, a pension trust (1) that is described in Section 401(a) of the Code, (2) is tax exempt under section 501(a) of the Code and (3) that owns more than 10% of our shares could be required to treat a percentage of the dividends from us as UBTI if we are a “pension-held REIT.” We will not be a pension-held REIT unless (1) either (A) one pension trust owns more than 25% of the value of our shares or (B) a group of pension trusts, each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individually holding more than 10% of the value of our shares, collectively owns more than 50% of such shares and (2) we would not have qualified as a REIT but for the fact that Section 856(h)(3) of the Code provides that shares owned by such trusts shall be treated, for purposes of the requirement that not more than 50% of the value of the outstanding shares of a REIT is owned, directly or indirectly, by five or fewer “individuals” (as defined in the Code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include certain entities), as owned by beneficiaries of the trust rather than the trust itself. Certain restrictions on ownership and transfer of our shares should generally prevent a tax-exempt entity from owning more than 10% of the value of our shares, or us from becoming a pension-held REIT.</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Tax-exempt U.S. Shareholders are urged to consult their tax advisors regarding the U.S. federal, state, local and foreign tax consequences of the acquisition, ownership and disposition of our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governing U.S. federal income taxation of non-U.S. Shareholders are complex and no attempt is made herein to provide more than a summary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such rules. Prospective non-U.S. Shareholders should consult with their own tax advisors to determine the impact of U.S. federal, state and local income and estate tax laws with regard to an investment in our shares, including any reporting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Ordinary Dividends</w:t>
      </w:r>
    </w:p>
    <w:p>
      <w:pPr>
        <w:spacing w:after="0" w:line="20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portion of Ordinary Dividends received by non-U.S. Shareholders that are not attributable to gain from sales or exchanges by us of United States real property interests and which are not effectively connected with a U.S. trade or business of the non-U.S. Shareholder generally will be subject to a withholding tax equal to 30% of the gross amount of the distribution unless an applicable tax treaty reduces or eliminates that tax. Under some treaties, however, the lower rates generally applicable to dividends do not apply to dividends from REITs. We intend to withhold United States income tax at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rate of 30% on the gross amount of any such Ordinary Dividends paid to a non-U.S. Shareholder unless (1) a lower treaty rate applies and the non-U.S. Shareholder files with us a properly completed IRS Form W-8BEN or W-8BEN-E (or other applicable form) claiming the benefits of the lower treaty rate or (2) the non-U.S. Shareholder files with us an IRS Form W-8ECI claiming that the distribution is effectively connected with a U.S. trade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74" w:name="page175"/>
    <w:bookmarkEnd w:id="174"/>
    <w:p>
      <w:pPr>
        <w:jc w:val="both"/>
        <w:spacing w:after="0" w:line="222" w:lineRule="auto"/>
        <w:rPr>
          <w:sz w:val="20"/>
          <w:szCs w:val="20"/>
          <w:color w:val="auto"/>
        </w:rPr>
      </w:pPr>
      <w:r>
        <w:rPr>
          <w:rFonts w:ascii="Times New Roman" w:cs="Times New Roman" w:eastAsia="Times New Roman" w:hAnsi="Times New Roman"/>
          <w:sz w:val="18"/>
          <w:szCs w:val="18"/>
          <w:color w:val="auto"/>
        </w:rPr>
        <w:t>In general, non-U.S. Shareholders will not be considered to be engaged in a U.S. trade or business solely as a result of their ownership of our shares. If income from the investment in our shares is treated as effectively connected with the non-U.S. Shareholder’s conduct of a United States trade or business,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non-U.S. Shareholder generally will be subject to a tax at graduated rates, in the same manner as U.S. Shareholders are taxed with respect to such distributions (and may also be subject to the 30% branch profits tax in the case of a non-U.S. Shareholder that is a foreign corporation).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Non-Dividend Distributions</w:t>
      </w:r>
    </w:p>
    <w:p>
      <w:pPr>
        <w:spacing w:after="0" w:line="19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Unless our shares constitute a U.S. real property interest (“</w:t>
      </w:r>
      <w:r>
        <w:rPr>
          <w:rFonts w:ascii="Times New Roman" w:cs="Times New Roman" w:eastAsia="Times New Roman" w:hAnsi="Times New Roman"/>
          <w:sz w:val="18"/>
          <w:szCs w:val="18"/>
          <w:b w:val="1"/>
          <w:bCs w:val="1"/>
          <w:color w:val="auto"/>
        </w:rPr>
        <w:t>USRPI</w:t>
      </w:r>
      <w:r>
        <w:rPr>
          <w:rFonts w:ascii="Times New Roman" w:cs="Times New Roman" w:eastAsia="Times New Roman" w:hAnsi="Times New Roman"/>
          <w:sz w:val="18"/>
          <w:szCs w:val="18"/>
          <w:color w:val="auto"/>
        </w:rPr>
        <w:t>”), any Non-Dividend Distributions will not be taxable to a non-U.S. Shareholder to the extent that such distributions do not exceed the adjusted basis of the shareholder’s shares, but rather will reduce the adjusted basis of the shareholder in such shares. To the extent that Non-Dividend Distributions exceed the adjusted basis of a non-U.S. Shareholder’s shares, such distributions will give rise to</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liability if the non-U.S. Shareholder would otherwise be subject to tax on any gain from the sale or disposition of its shares, as described below (See “-Taxation of Non-U.S. Shareholders-Dispositions of our Shares”). If it cannot be determined at the time a distribution is made whether or not such distribution will be in excess of current and accumulated earnings and profits, the distributions will be subject to withholding at the same rate as Ordinary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Dividends. Because we generally cannot determine at the time we make a distribution whether or not the distribution will exceed our current and accumulated earnings and profits, we normally will withhold tax on the entire amount of any distribution at the same rate as we would withhold on Ordinary Dividends. However, amounts thus withheld are refundable to the non-U.S. Shareholder if it is subsequently determined that such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in fact, in excess of our current and accumulated earnings and profits.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our shares constitute a USRPI, as described below (See “-Taxation of Non-U.S. Shareholders-Dispositions of our Shares”), Non-Dividend Distributions by us in excess of the non-U.S. Shareholder’s adjusted tax basis in our shares will be taxed under the Foreign Investment in Real Property Tax Act of 1980</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FIRPTA</w:t>
      </w:r>
      <w:r>
        <w:rPr>
          <w:rFonts w:ascii="Times New Roman" w:cs="Times New Roman" w:eastAsia="Times New Roman" w:hAnsi="Times New Roman"/>
          <w:sz w:val="18"/>
          <w:szCs w:val="18"/>
          <w:color w:val="auto"/>
        </w:rPr>
        <w:t>”) at the rate of tax, including any applicable capital gains rates, that would apply to a U.S. Shareholder of the same type (e.g., an individual or a corporation, as the case may be), and the collection of the tax will be enforced by a refundable withholding at a rate of 15% of the Non-Dividend Distribution.</w:t>
      </w:r>
    </w:p>
    <w:p>
      <w:pPr>
        <w:spacing w:after="0" w:line="1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Our shares will not be treated as a USRPI when held, directly or indirectly, by a “qualified shareholder” and, therefore, FIRPTA will not apply to such shares. However, certain investors in a qualified shareholder that owns more than 10% of our shares (directly or indirectly) that are not themselves qualified shareholders may be subject to FIRPTA withholding. A “qualified shareholder” is a foreign entity that (A)(i) is eligible for the benefits of a comprehensive</w:t>
      </w:r>
    </w:p>
    <w:p>
      <w:pPr>
        <w:jc w:val="both"/>
        <w:spacing w:after="0" w:line="208" w:lineRule="auto"/>
        <w:rPr>
          <w:sz w:val="20"/>
          <w:szCs w:val="20"/>
          <w:color w:val="auto"/>
        </w:rPr>
      </w:pPr>
      <w:r>
        <w:rPr>
          <w:rFonts w:ascii="Times New Roman" w:cs="Times New Roman" w:eastAsia="Times New Roman" w:hAnsi="Times New Roman"/>
          <w:sz w:val="18"/>
          <w:szCs w:val="18"/>
          <w:color w:val="auto"/>
        </w:rPr>
        <w:t>income tax treaty with the United States that includes an exchange of information program and the principal class of interest of which is listed and regularly traded on one or more recognized stock exchanges (as defined in such comprehensive income tax treaty) or (ii) is a foreign partnership that is created or organized under foreign law as a limited partnership in a jurisdiction that has an agreement for the exchange of information with respect to taxes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United States and has a class of limited partnership units which is regularly traded on the New York Stock Exchange or Nasdaq Stock Market and the value of such class of limited partnership units is greater than 50% of the value of all of the partnership units of the foreign partnership, (B) is a qualified collective investment vehicle and (C) maintains records on the identity of each person who, at any time during the foreign person’s taxable year, holds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directly 5% or more of the class of interest described in (A)(i) or (ii). A “qualified collective investment vehicle” is a foreign person that (x) under the comprehensive income tax treaty described in (A)(i) or (ii) of the prior sentence would be eligible for a reduced rate of withholding with respect to dividends paid by a REIT even if such person owned more than 10% of the REIT, (y) is a publicly traded partnership that is a withholding foreign</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partnership and would treated as a United States real property holding corporation if it were a United States corporation or (iii) which is designated as a qualified collective investment vehicle by the Secretary of the Treasury and is either (A) fiscally transparent or (B) required to include dividends in its gross income but is entitled to a deduction for distributions to its equity investors. Additionally, qualified foreign pension funds will not be subject to FIRPTA withholding. The rules concerning qualified shareholders and qualified foreign pension funds are complex and investors who believe they may be qualified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or qualified foreign pension funds should consult with their own tax advisors to find out if these rules are applicable to them.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Gain Distributions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discussed below with respect to 10% or less holders of regularly traded classes of shares, distributions that are attributable to gain from sales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exchanges by us of United States real property interests will be taxed to a non-U.S. Shareholder under the provisions of FIRPTA. Under FIRPTA, distributions attributable to gain from sales of United States real property interests are taxed to a non-U.S. Shareholder as if such gain were effectively connected with a United States trade or business. Individuals who are non-U.S. Shareholders will be required to report such gain on a U.S. federal income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tax return and such gain will be taxed at the normal capital gain rates applicable to U.S. individual shareholders (subject to applicable alternative minimum tax and a special alternative minimum tax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75" w:name="page176"/>
    <w:bookmarkEnd w:id="175"/>
    <w:p>
      <w:pPr>
        <w:jc w:val="both"/>
        <w:spacing w:after="0" w:line="222" w:lineRule="auto"/>
        <w:rPr>
          <w:sz w:val="20"/>
          <w:szCs w:val="20"/>
          <w:color w:val="auto"/>
        </w:rPr>
      </w:pPr>
      <w:r>
        <w:rPr>
          <w:rFonts w:ascii="Times New Roman" w:cs="Times New Roman" w:eastAsia="Times New Roman" w:hAnsi="Times New Roman"/>
          <w:sz w:val="18"/>
          <w:szCs w:val="18"/>
          <w:color w:val="auto"/>
        </w:rPr>
        <w:t>the case of nonresident alien individuals). Also, distributions subject to FIRPTA may be subject to a 30% branch profits tax in the hands of a foreign corporate shareholder not entitled to treaty relief. Brandywine is required by applicable Treasury regulations to withhold 21% of any distribution that could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designated by us as a capital gains dividend. The amount is creditable against the non-U.S. Shareholder’s U.S. tax liability.</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However, distributions attributable to gain from sales or exchanges by us of United States real property interests are treated as ordinary dividends (not subject to the 21% withholding tax under FIRPTA) if the distribution is made to a non-U.S. Shareholder with respect to any class of shares which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“regularly traded” on an established securities market located in the United States and if the non-U.S. Shareholder did not own more than 10% of such class of shares at any time during the taxable year. Such distributions will generally be subject to a 30% U.S. withholding tax (subject to reduction under applicable treaty) and a non-U.S. Shareholder will not be required to report the distribution on a U.S. tax return. In addition, the branch profits tax will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such distributions. See “-Taxation of Non-U.S. Shareholders-Ordinary Dividends.”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law is not clear on the matter, it appears that amounts we designate as undistributed capital gains in respect of the stock held by U.S.</w:t>
      </w:r>
    </w:p>
    <w:p>
      <w:pPr>
        <w:spacing w:after="0" w:line="219" w:lineRule="auto"/>
        <w:rPr>
          <w:sz w:val="20"/>
          <w:szCs w:val="20"/>
          <w:color w:val="auto"/>
        </w:rPr>
      </w:pPr>
      <w:r>
        <w:rPr>
          <w:rFonts w:ascii="Times New Roman" w:cs="Times New Roman" w:eastAsia="Times New Roman" w:hAnsi="Times New Roman"/>
          <w:sz w:val="18"/>
          <w:szCs w:val="18"/>
          <w:color w:val="auto"/>
        </w:rPr>
        <w:t>Shareholders generally should be treated with respect to non-U.S. Shareholders in the same manner as actual distributions by us of capital gain dividends.</w:t>
      </w:r>
    </w:p>
    <w:p>
      <w:pPr>
        <w:jc w:val="both"/>
        <w:spacing w:after="0" w:line="208" w:lineRule="auto"/>
        <w:rPr>
          <w:sz w:val="20"/>
          <w:szCs w:val="20"/>
          <w:color w:val="auto"/>
        </w:rPr>
      </w:pPr>
      <w:r>
        <w:rPr>
          <w:rFonts w:ascii="Times New Roman" w:cs="Times New Roman" w:eastAsia="Times New Roman" w:hAnsi="Times New Roman"/>
          <w:sz w:val="18"/>
          <w:szCs w:val="18"/>
          <w:color w:val="auto"/>
        </w:rPr>
        <w:t>Under that approach, the non-U.S. Shareholders would be able to offset as a credit against their U.S. federal income tax liability resulting therefrom their proportionate share of the tax paid by us on the undistributed capital gains, and to receive from the IRS a refund to the extent that their proportionate share of this tax paid by us were to exceed their actual U.S. federal income tax liability. If we were to designate a portion of our net capital gain as undistributed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gain, a non-U.S. Shareholder is urged to consult its tax advisor regarding the taxation of such undistributed capital gain.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Dividends Paid in Common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allowed to satisfy the REIT distribution requirements with respect to certain taxable years by distributing a significant portion of our dividends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form of common shares rather than cash. In the event that we pay a portion of a dividend in common shares, we may be required to withhold U.S. tax with respect to such dividend, including in respect of all or a portion of such dividend that is payable in common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Dispositions of Our Shares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Unless our shares constitute a USRPI, gain recognized by a non-U.S. Shareholder upon a sale of shares generally will not be taxed under FIRPTA. Gain not subject to FIRPTA will nonetheless be taxable in the United States to a non-U.S. Shareholder if (1) investment in the shares is effectively connected with the non-U.S. Shareholder’s United States trade or business, in which case the non-U.S. Shareholder will be subject to the same treatment as U.S.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Shareholders with respect to such gain or (2) the non-U.S. Shareholder is a nonresident alien individual who was present in the United States for 183 days or more during the taxable year, in which case the nonresident alien individual will be subject to a 30% tax on the individual’s capital gains.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will not be treated as a USRPI if Brandywine is a “domestically controlled REIT” (also referred to in the applicable Treasury regulations as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“domestically controlled qualified investment entity”), defined generally as a REIT in which at all times during a specified testing period less than 50% in value of the shares of beneficial interest was held directly or indirectly by foreign persons. It is currently anticipated that we will be a “domestically controlled REIT,” and therefore the sale of shares by a non-U.S. Shareholder will not be subject to taxation under FIRPTA. However, because the shares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be traded, we cannot be sure that we will continue to be a “domestically controlled REIT.” Further, even if we are a domestically controlled REIT, pursuant to “wash sale” rules under FIRPTA, a non-U.S. Shareholder may incur tax under FIRPTA to the extent such non-U.S. Shareholder disposes of our shares within a certain period prior to a capital gain distribution and directly or indirectly (including through certain affiliates) reacquires our shares within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prescribed periods.</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However, a non-U.S. shareholder will not incur tax under FIRPTA on a sale of common or preferred shares if (1) our preferred shares or common shares are “regularly traded” on an established securities market within the meaning of applicable Treasury regulations and (2) the non-U.S. Shareholder did not actually, or constructively under specified attribution rules under the Code, own more than 10% of our preferred shares or common shares at any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shorter of the five-year period preceding the disposition or the holder’s holding period.</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gain on the sale of our shares is subject to taxation under FIRPTA, the non-U.S. Shareholder will be subject to the same treatment as a U.S. Shareholder with respect to such gain, subject to applicable alternative minimum tax and a special alternative minimum tax in the case of non-resident alien individuals,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purchaser of the shares could be required to withhold 15% of the purchase price and remit such amount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Information Reporting and Backup Withholding Applicable to Non-U.S.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must report annually to the IRS and to each non-U.S. Shareholder the amount of dividends paid to such holder and the tax withheld with respect to such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dividends, regardless of whether withholding was required. Copies of the information returns reporting such dividends and withholding may also be made available to the tax authorities in the country in which the non-U.S. Shareholder resides under the provisions of an applicable income tax treaty.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dividends or of proceeds from the disposition of stock made to a non-U.S. Shareholder may be subject to information reporting and backup</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withholding unless such holder establishes an exemption, for example, by properly certifying its non-United States status on an IRS Form W-8BEN or W-8BEN-E or another appropriate version of IRS Form W-8. Notwithstanding the foregoing, backup withholding may apply if either we or our paying agent has actual knowledge, or reason to know, that a non-U.S. Shareholder is a United States person.</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the shareholder’s income tax liability, provided the required information is furnished to the IRS.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Withholding Requirements under “FATCA”</w:t>
      </w:r>
    </w:p>
    <w:p>
      <w:pPr>
        <w:spacing w:after="0" w:line="19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payments of dividends to a non-U.S. Shareholder will be subject to 30% withholding tax if the non-U.S. Shareholder fails to provide the withholding agent with documentation sufficient to show that it is compliant with the FATCA or otherwise exempt from withholding under FATCA. Generally, such documentation is provided on an executed IRS Form 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8BEN or IRS Form W-8BEN-E, as applicable. If a dividend payment is both subject to withholding under FATCA and subject to withholding tax discussed above, the withholding under FATCA may be credited against, and therefore reduce, such other withholding tax. Based upon proposed Treasury regulations, which may be relied upon by taxpayers until the final Treasury regulations are issued, FATCA withholding does not apply with respect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payments of gross proceeds. Non-U.S. Shareholders should consult their tax advisors to determine the applicability of this legislation in light of their individual circumstances.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Local and Foreign Tax Consequences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Brandywine, the Operating Partnership, the Subsidiary Partnerships and Brandywine’s shareholders may be subject to state, local and foreign taxation in various jurisdictions, including those in which it or they transact business or reside. The state, local and foreign tax treatment of Brandywine, the Operating Partnership, the Subsidiary Partnerships and Brandywine’s shareholders may not conform to the U.S. federal income tax consequences discussed above.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Any foreign taxes incurred by us would not pass through to shareholders as a credit against their U.S. federal income tax liability. Prospective shareholders should consult their own tax advisors regarding the effect of state, local and foreign tax laws on an investment in our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Legislative or Other Actions Affecting REITs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rules dealing with U.S. federal income taxation are constantly under review by persons involved in the legislative process and by the IRS and the U.S. Treasury Department. No assurance can be given as to whether, when, or in what form, the U.S. federal income tax laws applicable to us and our shareholders may be enacted. Changes to the U.S. federal tax laws and interpretations of U.S. federal tax laws could adversely affect an investment in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Holders of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describes the material U.S. federal income tax consequences of owning the debt securities that Brandywine or the Operating Partnership may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offer. This summary is for general information only and is not tax advice. The tax consequences of owning any particular issue of debt securities will be discussed in the applicable prospectus supplement.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a “U.S. Holder” means a beneficial owner of our debt securities that is, for U.S. federal income tax purposes:</w:t>
      </w:r>
    </w:p>
    <w:p>
      <w:pPr>
        <w:spacing w:after="0" w:line="185" w:lineRule="exact"/>
        <w:rPr>
          <w:sz w:val="20"/>
          <w:szCs w:val="20"/>
          <w:color w:val="auto"/>
        </w:rPr>
      </w:pPr>
    </w:p>
    <w:p>
      <w:pPr>
        <w:ind w:left="440" w:hanging="108"/>
        <w:spacing w:after="0"/>
        <w:tabs>
          <w:tab w:leader="none" w:pos="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 w:lineRule="exact"/>
        <w:rPr>
          <w:rFonts w:ascii="Times New Roman" w:cs="Times New Roman" w:eastAsia="Times New Roman" w:hAnsi="Times New Roman"/>
          <w:sz w:val="18"/>
          <w:szCs w:val="18"/>
          <w:color w:val="auto"/>
        </w:rPr>
      </w:pPr>
    </w:p>
    <w:p>
      <w:pPr>
        <w:ind w:left="660" w:hanging="328"/>
        <w:spacing w:after="0" w:line="203" w:lineRule="auto"/>
        <w:tabs>
          <w:tab w:leader="none" w:pos="4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w:t>
      </w:r>
    </w:p>
    <w:p>
      <w:pPr>
        <w:ind w:left="440" w:hanging="108"/>
        <w:spacing w:after="0"/>
        <w:tabs>
          <w:tab w:leader="none" w:pos="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0" w:right="339" w:bottom="1440" w:gutter="0" w:footer="0" w:header="0"/>
        </w:sectPr>
      </w:pPr>
    </w:p>
    <w:bookmarkStart w:id="177" w:name="page178"/>
    <w:bookmarkEnd w:id="177"/>
    <w:p>
      <w:pPr>
        <w:ind w:left="660" w:hanging="328"/>
        <w:spacing w:after="0" w:line="237" w:lineRule="auto"/>
        <w:tabs>
          <w:tab w:leader="none" w:pos="44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(a) is subject to the primary supervision of a court within the United States and one or more U.S. persons have the authority to control all substantial decisions of the trust or (b) has a valid election in effect under applicable U.S. Treasury regulations to be treated as a U.S. person.</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used herein, a “non-U.S. Holder” means a beneficial owner of our debt securities that is not a “U.S. Holder,” and that is not a partnership (or other entity treated as a partnership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partnership holds debt securities, the tax treatment of a partner will generally depend upon the status of the partner and the activities of the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partner of a partnership holding debt securities, you should consult your tax advisor.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stated interest on debt securities generally will be taxable to a U.S. Holder as ordinary income at the time that it is paid or accrued, in accordance with the U.S. Holder’s method of accounting for U.S. federal income tax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Original Issue Discount</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you own debt securities issued with OID, you will be subject to special tax accounting rules, as described in greater detail below. In that case, you should be aware that you generally must include OID in gross income (as ordinary income) in advance of the receipt of cash attributable to that income, regardless of your method of accounting for U.S. federal income tax purposes. However, you generally will not be required to include separately in income cash</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payments received on the debt securities, even if denominated as interest, to the extent those payments do not constitute “qualified stated interest,” as defined below. If we determine that a particular debt security will be an OID debt security, we will disclose that determination in the prospectus supplement relating to those debt securities.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 debt security with an “issue price” that is less than the “stated redemption price at maturity” (generally the sum of all payments to be made on the debt security other than “qualified stated interest”) generally will be issued with OID in an amount equal to that difference if that difference is at least 0.25% of the stated redemption price at maturity multiplied by the number of complete years to maturity of the debt security. The “issue price” of each debt security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a particular offering generally will be the first price at which a substantial amount of that particular offering is sold to the public. The term “qualified stated interest” means stated interest that is unconditionally payable in cash or in property, other than debt instruments of the issuer, and the interest to be paid meets all of the following conditions:</w:t>
      </w:r>
    </w:p>
    <w:p>
      <w:pPr>
        <w:spacing w:after="0" w:line="160" w:lineRule="exact"/>
        <w:rPr>
          <w:sz w:val="20"/>
          <w:szCs w:val="20"/>
          <w:color w:val="auto"/>
        </w:rPr>
      </w:pPr>
    </w:p>
    <w:p>
      <w:pPr>
        <w:ind w:left="440" w:hanging="108"/>
        <w:spacing w:after="0"/>
        <w:tabs>
          <w:tab w:leader="none" w:pos="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payable at least once per year;</w:t>
      </w:r>
    </w:p>
    <w:p>
      <w:pPr>
        <w:ind w:left="440" w:hanging="108"/>
        <w:spacing w:after="0" w:line="203" w:lineRule="auto"/>
        <w:tabs>
          <w:tab w:leader="none" w:pos="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payable over the entire term of the debt security; and</w:t>
      </w:r>
    </w:p>
    <w:p>
      <w:pPr>
        <w:ind w:left="440" w:hanging="108"/>
        <w:spacing w:after="0"/>
        <w:tabs>
          <w:tab w:leader="none" w:pos="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payable at a single fixed rate or, subject to certain conditions, based on one or more interest indices.</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we determine that particular debt securities of a series will bear interest that is not qualified stated interest, we will disclose that determination in the prospectus supplement relating to those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own a debt security issued with “de minimis” OID, which is discount that is not OID because it is less than 0.25% of the stated redemption price at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maturity multiplied by the number of complete years to maturity of the debt security, you generally must include the de minimis OID in income at the time principal payments on the debt securities are made in proportion to the amount paid. Any amount of de minimis OID that you have included in income will be treated as capital gain.</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Certain of the debt securities may contain provisions permitting them to be redeemed prior to their stated maturity at our option and/or at your option. OID debt securities containing those features may be subject to rules that differ from the general rules discussed herein. If you are considering the purchase of OID debt securities with those features, you should carefully examine the applicable prospectus supplement and should consult your own tax advisor with respect to those features because the tax consequences to you with respect to OID will depend, in part, on the particular terms and features of the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you own OID debt securities with a maturity upon issuance of more than one year you generally must include OID in income in advance of the receipt of some or all of the related cash payments using the “constant yield method” described in the following paragraphs. This method takes into account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compounding of interest. If you own OID debt securities with a maturity upon issuance of more than five years, certain rules that apply to applicable high 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78" w:name="page179"/>
    <w:bookmarkEnd w:id="178"/>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discount obligations may apply to the debt securities, in which case you should carefully examine the applicable prospectus and should consult your own tax advisor regarding the U.S. federal income tax consequences to you of holding and disposing of those debt securities.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amount of OID that you must include in income if you are the initial holder of an OID debt security is the sum of the “daily portions” of OID with respect to the debt security for each day during the taxable year or portion of the taxable year in which you held that debt security (“accrued OID”). The daily portion is determined by allocating to each day in any “accrual period” a pro rata portion of the OID allocable to that accrual period. The “accrual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period” for an OID debt security may be of any length and may vary in length over the term of the debt security, provided that each accrual period is no longer than one year and each scheduled payment of principal or interest occurs on the first day or the final day of an accrual period. The amount of OID allocable to any accrual period is an amount equal to the excess, if any, of:</w:t>
      </w:r>
    </w:p>
    <w:p>
      <w:pPr>
        <w:spacing w:after="0" w:line="172" w:lineRule="exact"/>
        <w:rPr>
          <w:sz w:val="20"/>
          <w:szCs w:val="20"/>
          <w:color w:val="auto"/>
        </w:rPr>
      </w:pPr>
    </w:p>
    <w:p>
      <w:pPr>
        <w:ind w:left="660" w:hanging="328"/>
        <w:spacing w:after="0" w:line="215" w:lineRule="auto"/>
        <w:tabs>
          <w:tab w:leader="none" w:pos="4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security’s “adjusted issue price” at the beginning of the accrual period multiplied by its yield to maturity, determined on the basis of compounding at the close of each accrual period and properly adjusted for the length of the accrual period, over</w:t>
      </w:r>
    </w:p>
    <w:p>
      <w:pPr>
        <w:ind w:left="440" w:hanging="108"/>
        <w:spacing w:after="0"/>
        <w:tabs>
          <w:tab w:leader="none" w:pos="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all qualified stated interest allocable to the accrual period.</w:t>
      </w:r>
    </w:p>
    <w:p>
      <w:pPr>
        <w:spacing w:after="0" w:line="17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OID allocable to a final accrual period is the difference between the amount payable at maturity, other than a payment of qualified stated interest, and the adjusted issue price at the beginning of the final accrual period. Special rules will apply for calculating OID for an initial short accrual period. The “adjusted issue price” of a debt security at the beginning of any accrual period is equal to its issue price increased by the accrued OID for each prior accrual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period, determined without regard to the amortization of any acquisition or bond premium, as described below, and reduced by any payments made on the debt security (other than qualified stated interest) on or before the first day of the accrual period. Under these rules, you will generally have to include in income increasingly greater amounts of OID in successive accrual periods. We are required to provide information returns stating the amount of OID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on debt securities held by persons of record other than corporations and other exempt holders.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Floating rate debt securities are subject to special OID rules. In the case of an OID debt security that is a floating rate debt security, both the “yield to maturity” and “qualified stated interest” will be determined solely for purposes of calculating the accrual of OID as though the debt security will bear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interest in all periods at a fixed rate generally equal to the rate that would be applicable to interest payments on the debt security on its date of issue or, in the case of certain floating rate debt securities, the rate that reflects the yield to maturity that is reasonably expected for the debt security. Additional rules may apply if either:</w:t>
      </w:r>
    </w:p>
    <w:p>
      <w:pPr>
        <w:spacing w:after="0" w:line="160" w:lineRule="exact"/>
        <w:rPr>
          <w:sz w:val="20"/>
          <w:szCs w:val="20"/>
          <w:color w:val="auto"/>
        </w:rPr>
      </w:pPr>
    </w:p>
    <w:p>
      <w:pPr>
        <w:ind w:left="440" w:hanging="108"/>
        <w:spacing w:after="0"/>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on a floating rate debt security is based on more than one interest index; or</w:t>
      </w:r>
    </w:p>
    <w:p>
      <w:pPr>
        <w:ind w:left="440" w:hanging="108"/>
        <w:spacing w:after="0"/>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debt security is indexed in any manner.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discussion does not address the tax rules applicable to debt securities with an indexed principal amount. If you are considering the purchase of floating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rate OID debt securities or securities with indexed principal amounts, you should carefully examine the prospectus supplement relating to those debt securities, and you should consult your own tax advisor regarding the U.S. federal income tax consequences to you of holding and disposing of those debt securities.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You may elect to treat all interest on any debt securities as OID and calculate the amount includible in gross income under the constant yield method described above. For purposes of this election, interest includes stated interest, acquisition discount, OID, de minimis OID, market discount, de minimis market discount and unstated interest, as adjusted by any amortizable bond premium or acquisition premium. You must make this election for the taxable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year in which you acquired the debt security, and you may not revoke the election without the consent of the IRS. You should consult with your own tax advisor about this election.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Discount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purchase debt securities, other than OID debt securities, for an amount that is less than their stated redemption price at maturity, or, in the case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OID debt securities, their adjusted issue price, the amount of the difference will be treated as “market discount” for U.S. federal income tax purposes, unless that difference is less than a specified de minimis amount. Under the market discount rules, you will be required to treat any principal payment on, or any gain on the sale, exchange, retirement, redemption or other disposition of, the debt securities as ordinary income to the extent of the market discount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you have not previously included in income and are treated as having accrued on the debt securities at the time of their payment or disposition. In addition, you may be required to defer, until the maturity of the debt securities or their earlier disposition in a taxable transaction, the deduction of all or a portion of the interest expense on any indebtedness attributable to the debt securities. You may elect, on a debt security-by-debt security basis, to deduct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interest expense in a tax year prior to the year of disposition. You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79" w:name="page180"/>
    <w:bookmarkEnd w:id="179"/>
    <w:p>
      <w:pPr>
        <w:jc w:val="both"/>
        <w:spacing w:after="0" w:line="222" w:lineRule="auto"/>
        <w:rPr>
          <w:sz w:val="20"/>
          <w:szCs w:val="20"/>
          <w:color w:val="auto"/>
        </w:rPr>
      </w:pPr>
      <w:r>
        <w:rPr>
          <w:rFonts w:ascii="Times New Roman" w:cs="Times New Roman" w:eastAsia="Times New Roman" w:hAnsi="Times New Roman"/>
          <w:sz w:val="18"/>
          <w:szCs w:val="18"/>
          <w:color w:val="auto"/>
        </w:rPr>
        <w:t>consult your own tax advisor before making this election. Any market discount will be considered to accrue ratably during the period from the date of acquisition to the maturity date of the debt securities, unless you elect to accrue on a constant interest method. You may elect to include market discount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income currently as it accrues, on either a ratable or constant interest method, in which case the rule described above regarding deferral of interest deductions will not apply. Your election to include market discount in income currently, once made, applies to all market discount obligations acquired by you on or after the first taxable year to which your election applies and may not be revoked without the consent of the IRS. You should consult your 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advisor before making this election.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 Premium and Amortizable Bond Premium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purchase OID debt securities for an amount that is greater than their adjusted issue price but equal to or less than the sum of all amounts payable 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debt securities after the purchase date other than payments of qualified stated interest, you will be considered to have purchased those debt securities at an “acquisition premium.” Under the acquisition premium rules, the amount of OID that you must include in gross income with respect to those debt securities for any taxable year will be reduced by the portion of the acquisition premium properly allocable to that year.</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you purchase debt securities (including OID debt securities) for an amount in excess of the sum of all amounts payable on those debt securities after the purchase date other than qualified stated interest, you will be considered to have purchased those debt securities at a “premium” and, if they are OID debt securities, you will not be required to include any OID in income. You generally may elect to amortize the premium over the remaining term of those debt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securities on a constant yield method as an offset to interest when includible in income under your regular accounting method. In the case of debt securities that provide for alternative payment schedules, bond premium is calculated by assuming that (a) you will exercise or not exercise options in a manner that maximizes your yield and (b) we will exercise or not exercise options in a manner that minimizes your yield (except that we will be assumed to exercise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call options in a manner that maximizes your yield). If you do not elect to amortize bond premium, that premium will decrease the gain or increase the loss you would otherwise recognize on disposition of the debt security. Your election to amortize premium on a constant yield method will also apply to all taxable debt obligations held or subsequently acquired by you on or after the first day of the first taxable year to which the election applies. You may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revoke the election without the consent of the IRS. You should consult your own tax advisor before making this election.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 Exchange, Retirement, Redemption or other Taxable Disposition of Debt Securities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 U.S. Holder of debt securities will recognize gain or loss upon the sale, exchange, retirement, redemption or other taxable disposition of such debt securities in an amount equal to the difference between:</w:t>
      </w:r>
    </w:p>
    <w:p>
      <w:pPr>
        <w:spacing w:after="0" w:line="138" w:lineRule="exact"/>
        <w:rPr>
          <w:sz w:val="20"/>
          <w:szCs w:val="20"/>
          <w:color w:val="auto"/>
        </w:rPr>
      </w:pPr>
    </w:p>
    <w:p>
      <w:pPr>
        <w:ind w:left="460" w:hanging="128"/>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fair market value of other property received in exchange for such debt securities, other than amounts attributable to</w:t>
      </w:r>
    </w:p>
    <w:p>
      <w:pPr>
        <w:ind w:left="66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qualified stated interest, which will be subject to tax as ordinary income to the extent not previously included in income; and</w:t>
      </w:r>
    </w:p>
    <w:p>
      <w:pPr>
        <w:ind w:left="440" w:hanging="108"/>
        <w:spacing w:after="0"/>
        <w:tabs>
          <w:tab w:leader="none" w:pos="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adjusted tax basis in such debt securities.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 U.S. Holder’s adjusted tax basis in a debt security generally will equal the cost of the debt security to such holder (A) increased by the amount of OID or accrued market discount (if any) previously included in income by such holder and (B) decreased by (i) the amount of any payments other than qualified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interest payments and (ii) any amortizable bond premium taken by such holder.</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Any gain or loss recognized will generally be capital gain or loss, and such capital gain or loss will generally be long-term capital gain or loss if the debt security has been held by the U.S. Holder for more than one year. Long-term capital gain for non-corporate taxpayers is subject to reduced rates of U.S.</w:t>
      </w:r>
    </w:p>
    <w:p>
      <w:pPr>
        <w:spacing w:after="0" w:line="205" w:lineRule="auto"/>
        <w:rPr>
          <w:sz w:val="20"/>
          <w:szCs w:val="20"/>
          <w:color w:val="auto"/>
        </w:rPr>
      </w:pPr>
      <w:r>
        <w:rPr>
          <w:rFonts w:ascii="Times New Roman" w:cs="Times New Roman" w:eastAsia="Times New Roman" w:hAnsi="Times New Roman"/>
          <w:sz w:val="18"/>
          <w:szCs w:val="18"/>
          <w:color w:val="auto"/>
        </w:rPr>
        <w:t>federal income taxation (currently, a 20% maximum federal rate but see the discussion above “Taxation of Shareholders-Taxation of Taxable U.S.</w:t>
      </w:r>
    </w:p>
    <w:p>
      <w:pPr>
        <w:spacing w:after="0"/>
        <w:rPr>
          <w:sz w:val="20"/>
          <w:szCs w:val="20"/>
          <w:color w:val="auto"/>
        </w:rPr>
      </w:pPr>
      <w:r>
        <w:rPr>
          <w:rFonts w:ascii="Times New Roman" w:cs="Times New Roman" w:eastAsia="Times New Roman" w:hAnsi="Times New Roman"/>
          <w:sz w:val="18"/>
          <w:szCs w:val="18"/>
          <w:color w:val="auto"/>
        </w:rPr>
        <w:t>Shareholders-Tax Rates Applicable to Individual Shareholders under the TCJA”). The deductibility of capital losses is subject to certain limitations.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Medicare Tax on Investment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U.S. Holders who are individuals, estates or trusts and whose income exceeds certain thresholds must pay a 3.8% Medicare tax on "net investment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income" which includes, among other things, dividends on shares, interest on debt securities and capital gains from the sale or other disposition of shares or debt securities, subject to certain exceptions. Prospective investors should consult their tax advisors regarding the effect, if any, of this legislation on their ownership and disposition of our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Taxation of Tax-Exempt Holders of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accrued on the debt securities should not constitute unrelated business taxable income to a tax-exempt holder. As a result, a tax-exempt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holder generally should not be subject to U.S. federal income tax on the interest income accruing on our debt securities. Similarly, any gain recognized by the tax-exempt holder in connection with a sale or other disposition of a debt security generally should not be unrelated business taxable income. However, if a tax-exempt holder were to finance its acquisition of the debt security with debt, a portion of the interest income and gain attributable to the debt security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would constitute unrelated business taxable income pursuant to the “debt-financed property” rules. Tax-exempt holders should consult their own tax advisors to determine the potential tax consequences of an investment in our debt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Taxation of Non-U.S. Holders of Debt Securities</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below”, interest (including OID) paid on debt securities to a non-U.S. Holder will not be subject to U.S. federal withholding tax under the “portfolio interest exemption,” provided that:</w:t>
      </w:r>
    </w:p>
    <w:p>
      <w:pPr>
        <w:spacing w:after="0" w:line="160" w:lineRule="exact"/>
        <w:rPr>
          <w:sz w:val="20"/>
          <w:szCs w:val="20"/>
          <w:color w:val="auto"/>
        </w:rPr>
      </w:pPr>
    </w:p>
    <w:p>
      <w:pPr>
        <w:ind w:left="440" w:hanging="108"/>
        <w:spacing w:after="0"/>
        <w:tabs>
          <w:tab w:leader="none" w:pos="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debt securities is not effectively connected with a non-U.S. Holder’s conduct of a trade or business in the United States;</w:t>
      </w:r>
    </w:p>
    <w:p>
      <w:pPr>
        <w:ind w:left="660" w:hanging="328"/>
        <w:spacing w:after="0" w:line="208" w:lineRule="auto"/>
        <w:tabs>
          <w:tab w:leader="none" w:pos="44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the capital or profits interest in the Operating Partnership (in the case of debt issued by the Operating Partnership), or 10% or more of the total combined voting power of all classes of stock of Brandywine entitled to vote (in the case of debt issued by Brandywine);</w:t>
      </w:r>
    </w:p>
    <w:p>
      <w:pPr>
        <w:spacing w:after="0" w:line="1" w:lineRule="exact"/>
        <w:rPr>
          <w:rFonts w:ascii="Times New Roman" w:cs="Times New Roman" w:eastAsia="Times New Roman" w:hAnsi="Times New Roman"/>
          <w:sz w:val="18"/>
          <w:szCs w:val="18"/>
          <w:color w:val="auto"/>
        </w:rPr>
      </w:pPr>
    </w:p>
    <w:p>
      <w:pPr>
        <w:ind w:left="440" w:hanging="108"/>
        <w:spacing w:after="0" w:line="203" w:lineRule="auto"/>
        <w:tabs>
          <w:tab w:leader="none" w:pos="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w:t>
      </w:r>
    </w:p>
    <w:p>
      <w:pPr>
        <w:ind w:left="440" w:hanging="108"/>
        <w:spacing w:after="0" w:line="219" w:lineRule="auto"/>
        <w:tabs>
          <w:tab w:leader="none" w:pos="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that is related to the Operating Partnership or Brandywine, as applicable;</w:t>
      </w:r>
    </w:p>
    <w:p>
      <w:pPr>
        <w:ind w:left="660" w:hanging="328"/>
        <w:spacing w:after="0" w:line="203" w:lineRule="auto"/>
        <w:tabs>
          <w:tab w:leader="none" w:pos="4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bank that receives such interest on an extension of credit made pursuant to a loan agreement entered into in the ordinary course of its trade or business;</w:t>
      </w:r>
    </w:p>
    <w:p>
      <w:pPr>
        <w:ind w:left="660" w:hanging="328"/>
        <w:spacing w:after="0" w:line="211" w:lineRule="auto"/>
        <w:tabs>
          <w:tab w:leader="none" w:pos="4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 of debt securities provides a certification, which is generally made on an IRS Form W-8BEN or W-8BEN-E, as applicable, or a suitable substitute form and signed under penalties of perjury, that it is not a United States person; and</w:t>
      </w:r>
    </w:p>
    <w:p>
      <w:pPr>
        <w:ind w:left="660" w:hanging="328"/>
        <w:spacing w:after="0" w:line="226" w:lineRule="auto"/>
        <w:tabs>
          <w:tab w:leader="none" w:pos="4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does not have actual knowledge or reason to know that the beneficial owner of the debt securities is a United States person.</w:t>
      </w:r>
    </w:p>
    <w:p>
      <w:pPr>
        <w:spacing w:after="0" w:line="19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 payment of interest (including OID) to a non-U.S. Holder that does not qualify for the portfolio interest exemption and that is not effectively connected to a United States trade or business will be subject to U.S. federal withholding tax at a rate of 30%, unless a United States income tax treaty applies to reduce or eliminate withholding.</w:t>
      </w:r>
    </w:p>
    <w:p>
      <w:pPr>
        <w:spacing w:after="0" w:line="1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 non-U.S. Holder will generally be subject to tax in the same manner as a U.S. Holder with respect to payments of interest (including OID) if such payments are effectively connected with the conduct of a trade or business of the non-U.S. Holder in the United States and, if an applicable tax treaty so requires, such interest is attributable to a United States permanent establishment maintained by the non-U.S. Holder. In some circumstances, such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effectively connected income received by a non-U.S. Holder that is a corporation may be subject to an additional “branch profits tax” at a 30% base rate or, if applicable, a lower treaty rate.</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To claim the benefit of a lower treaty rate or to claim exemption from withholding because the income is effectively connected with a United States trade or business, the non-U.S. Holder must provide a properly executed IRS Form W-8BEN or W-8BEN-E (in the case of a treaty), IRS Form W-8ECI (in the case</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effectively connected income) or a suitable substitute form, as applicable, prior to the payment of interest. Such certificate must contain, among other information, the name and address of the non-U.S. Holder, as well as applicable U.S. and foreign tax identification numbers.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Holders are urged to consult their own tax advisors regarding applicable income tax treaties, which may provide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0"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 Exchange, Retirement, Redemption or other Taxable Disposition of Debt Securities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below, a non-U.S. Holder generally will not be subject to U.S. federal income tax or withholding tax on gain recognized on the sale, exchange, retirement, redemption or other taxable disposition of debt securities unless:</w:t>
      </w:r>
    </w:p>
    <w:p>
      <w:pPr>
        <w:spacing w:after="0" w:line="149" w:lineRule="exact"/>
        <w:rPr>
          <w:sz w:val="20"/>
          <w:szCs w:val="20"/>
          <w:color w:val="auto"/>
        </w:rPr>
      </w:pPr>
    </w:p>
    <w:p>
      <w:pPr>
        <w:ind w:left="660" w:hanging="323"/>
        <w:spacing w:after="0" w:line="222" w:lineRule="auto"/>
        <w:rPr>
          <w:sz w:val="20"/>
          <w:szCs w:val="20"/>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or</w:t>
      </w:r>
    </w:p>
    <w:p>
      <w:pPr>
        <w:spacing w:after="0" w:line="2" w:lineRule="exact"/>
        <w:rPr>
          <w:sz w:val="20"/>
          <w:szCs w:val="20"/>
          <w:color w:val="auto"/>
        </w:rPr>
      </w:pPr>
    </w:p>
    <w:p>
      <w:pPr>
        <w:ind w:left="660" w:hanging="323"/>
        <w:spacing w:after="0" w:line="226" w:lineRule="auto"/>
        <w:rPr>
          <w:sz w:val="20"/>
          <w:szCs w:val="20"/>
          <w:color w:val="auto"/>
        </w:rPr>
      </w:pPr>
      <w:r>
        <w:rPr>
          <w:rFonts w:ascii="Times New Roman" w:cs="Times New Roman" w:eastAsia="Times New Roman" w:hAnsi="Times New Roman"/>
          <w:sz w:val="18"/>
          <w:szCs w:val="18"/>
          <w:color w:val="auto"/>
        </w:rPr>
        <w:t>•the gain is effectively connected with the conduct of a trade or business of the non-U.S. Holder in the United States and, if an applicable tax treaty so requires, such gain is attributable to a United States permanent establishment maintained by such non-U.S. Holder.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will generally be subject to tax in the same manner as a U.S. Holder with respect to gain recognized on the sale, exchange, retirement,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redemption or other taxable disposition of debt securities if such gain is effectively connected with the conduct of a trade or business of the non-U.S. Holder in the United States and, if an applicable tax treaty so requires, such gain is attributable to a United States permanent establishment maintained by the non-U.S. Holder. In certain circumstances, a non-U.S. Holder that is a corporation may be subject to an additional “branch profits tax” at a 30% rate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a lower treaty rate on such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Reporting and Backup Withholding Applicable to Holders of Debt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Holders</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Certain U.S. Holders may be subject to information reporting requirements on payments of interest (including OID) on debt securities and payments of the proceeds of the sale, exchange, retirement, redemption or other taxable disposition of debt securities, and backup withholding, currently imposed at a rate of 24%, may apply to such payments if the U.S. Holder:</w:t>
      </w:r>
    </w:p>
    <w:p>
      <w:pPr>
        <w:spacing w:after="0" w:line="160" w:lineRule="exact"/>
        <w:rPr>
          <w:sz w:val="20"/>
          <w:szCs w:val="20"/>
          <w:color w:val="auto"/>
        </w:rPr>
      </w:pPr>
    </w:p>
    <w:p>
      <w:pPr>
        <w:ind w:left="440" w:hanging="108"/>
        <w:spacing w:after="0"/>
        <w:tabs>
          <w:tab w:leader="none" w:pos="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furnish an accurate taxpayer identification number, or TIN, to the payor in the manner required;</w:t>
      </w:r>
    </w:p>
    <w:p>
      <w:pPr>
        <w:ind w:left="440" w:hanging="108"/>
        <w:spacing w:after="0" w:line="203" w:lineRule="auto"/>
        <w:tabs>
          <w:tab w:leader="none" w:pos="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it has failed to properly report payments of interest or dividends; or</w:t>
      </w:r>
    </w:p>
    <w:p>
      <w:pPr>
        <w:ind w:left="440" w:hanging="108"/>
        <w:spacing w:after="0" w:line="219" w:lineRule="auto"/>
        <w:tabs>
          <w:tab w:leader="none" w:pos="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fails to certify, under penalties of perjury, that it has furnished a correct TIN and that it has not been notified by the IRS</w:t>
      </w:r>
    </w:p>
    <w:p>
      <w:pPr>
        <w:ind w:left="660"/>
        <w:spacing w:after="0"/>
        <w:rPr>
          <w:sz w:val="20"/>
          <w:szCs w:val="20"/>
          <w:color w:val="auto"/>
        </w:rPr>
      </w:pPr>
      <w:r>
        <w:rPr>
          <w:rFonts w:ascii="Times New Roman" w:cs="Times New Roman" w:eastAsia="Times New Roman" w:hAnsi="Times New Roman"/>
          <w:sz w:val="18"/>
          <w:szCs w:val="18"/>
          <w:color w:val="auto"/>
        </w:rPr>
        <w:t>that it is subject to backup withholding.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Non-U.S.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is generally not subject to backup withholding with respect to payments of interest (including OID) on debt securities if it certifies as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its status as a non-U.S. Holder under penalties of perjury or if it otherwise establishes an exemption, provided that the applicable withholding agent does not have actual knowledge or reason to know that the non-U.S. Holder is a United States person or that the conditions of any other exemptions are not, in fact, satisfied. Information reporting requirements, however, will generally apply to payments of interest (including OID) to non-U.S. Holders. Copies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these information returns may also be made available under the provisions of a specific treaty or agreement to the tax authorities of the country in which the non-U.S. Holder resides.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of the proceeds from the disposition of debt securities to or through the United States office of any broker, United States or foreign, will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subject to information reporting and possible backup withholding unless the non-U.S. Holder certifies as to its non-United States status under penalties of perjury or otherwise establishes an exemption, provided that the broker does not have actual knowledge or reason to know that the non-U.S. Holder is a United States person or that the conditions of any other exemption are not, in fact, satisfied.</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payment of the proceeds from the disposition of debt securities to or through a non-United States office of a non-United States broker that is not a “United States related person” generally will not be subject to information reporting or backup withholding. For this purpose, a “United States related person” includes:</w:t>
      </w:r>
    </w:p>
    <w:p>
      <w:pPr>
        <w:spacing w:after="0" w:line="158" w:lineRule="exact"/>
        <w:rPr>
          <w:sz w:val="20"/>
          <w:szCs w:val="20"/>
          <w:color w:val="auto"/>
        </w:rPr>
      </w:pPr>
    </w:p>
    <w:p>
      <w:pPr>
        <w:ind w:left="440" w:hanging="108"/>
        <w:spacing w:after="0"/>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w:t>
      </w:r>
    </w:p>
    <w:p>
      <w:pPr>
        <w:spacing w:after="0" w:line="2" w:lineRule="exact"/>
        <w:rPr>
          <w:rFonts w:ascii="Times New Roman" w:cs="Times New Roman" w:eastAsia="Times New Roman" w:hAnsi="Times New Roman"/>
          <w:sz w:val="18"/>
          <w:szCs w:val="18"/>
          <w:color w:val="auto"/>
        </w:rPr>
      </w:pPr>
    </w:p>
    <w:p>
      <w:pPr>
        <w:ind w:left="660" w:hanging="328"/>
        <w:spacing w:after="0" w:line="208" w:lineRule="auto"/>
        <w:tabs>
          <w:tab w:leader="none" w:pos="4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50% or more of whose gross income from all sources for the three-year period ending with the close of its taxable year preceding the payment, or for such part of the period that the broker has been in existence, is derived from activities that are effectively connected with the conduct of a United States trade or business; or</w:t>
      </w:r>
    </w:p>
    <w:p>
      <w:pPr>
        <w:spacing w:after="0" w:line="1" w:lineRule="exact"/>
        <w:rPr>
          <w:rFonts w:ascii="Times New Roman" w:cs="Times New Roman" w:eastAsia="Times New Roman" w:hAnsi="Times New Roman"/>
          <w:sz w:val="18"/>
          <w:szCs w:val="18"/>
          <w:color w:val="auto"/>
        </w:rPr>
      </w:pPr>
    </w:p>
    <w:p>
      <w:pPr>
        <w:ind w:left="660" w:right="20" w:hanging="328"/>
        <w:spacing w:after="0" w:line="226" w:lineRule="auto"/>
        <w:tabs>
          <w:tab w:leader="none" w:pos="44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that at any time during the partnership’s taxable year is either engaged in the conduct of a trade or business in the United States or of which 50% or more of its income or capital interests are held by United States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0" w:right="339" w:bottom="1440" w:gutter="0" w:footer="0" w:header="0"/>
        </w:sectPr>
      </w:pPr>
    </w:p>
    <w:bookmarkStart w:id="182" w:name="page183"/>
    <w:bookmarkEnd w:id="182"/>
    <w:p>
      <w:pPr>
        <w:jc w:val="both"/>
        <w:spacing w:after="0" w:line="222" w:lineRule="auto"/>
        <w:rPr>
          <w:sz w:val="20"/>
          <w:szCs w:val="20"/>
          <w:color w:val="auto"/>
        </w:rPr>
      </w:pPr>
      <w:r>
        <w:rPr>
          <w:rFonts w:ascii="Times New Roman" w:cs="Times New Roman" w:eastAsia="Times New Roman" w:hAnsi="Times New Roman"/>
          <w:sz w:val="18"/>
          <w:szCs w:val="18"/>
          <w:color w:val="auto"/>
        </w:rPr>
        <w:t>In the case of the payment of proceeds from the disposition of debt securities to or through a non-United States office of a broker that is either a United States person or a United States related person, the payment may be subject to information reporting unless the broker has documentary evidence in its files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that the owner is a non-U.S. Holder and the broker has no knowledge or reason to know to the contrary. Backup withholding will not apply to payments made through foreign offices of a broker that is a United States person or a United States related person, absent actual knowledge that the payee is a United States person.</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holder will be allowed as a refund or a credit against such holder’s U.S. federal income tax liability, provided that the requisite procedures are followed.</w:t>
      </w:r>
    </w:p>
    <w:p>
      <w:pPr>
        <w:spacing w:after="0" w:line="15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Holders of debt securities are urged to consult their tax advisors regarding their qualification for exemption from backup withholding and the procedure for obtaining such an exemption, if applicable.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Withholding Requirements under “FATCA”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Sections FATCA, payments of interest (including OID) to a non-U.S. Holder may be subject to 30% withholding tax if the non-U.S. Holder fails to</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provide the withholding agent with documentation sufficient to show that it is compliant with the FATCA. Generally, such documentation is provided on an executed IRS Form W-8BEN or IRS Form W-8BEN-E, as applicable. If interest is subject to 30% tax under FATCA, it will not be subject to the 30% tax described above under “-Taxation of Non-U.S. Holders of Debt Securities-Interest.” Based upon proposed Treasury regulations, which may be relied upon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taxpayers until the final Treasury regulations are issued, FATCA withholding does not apply with respect to payments of gross proceeds from the disposition of U.S. stock or securities. Non-U.S. Holders should consult their tax advisors to determine the applicability of this legislation in light of their individual circumstances, including the possible application of an intergovernmental agreement between the United States and their country of residence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might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rPr>
          <w:sz w:val="20"/>
          <w:szCs w:val="20"/>
          <w:color w:val="auto"/>
        </w:rPr>
      </w:pPr>
      <w:r>
        <w:rPr>
          <w:rFonts w:ascii="Times New Roman" w:cs="Times New Roman" w:eastAsia="Times New Roman" w:hAnsi="Times New Roman"/>
          <w:sz w:val="14"/>
          <w:szCs w:val="14"/>
          <w:color w:val="auto"/>
        </w:rPr>
        <w:t>168594113v3</w:t>
      </w:r>
    </w:p>
    <w:p>
      <w:pPr>
        <w:sectPr>
          <w:pgSz w:w="11900" w:h="16838" w:orient="portrait"/>
          <w:cols w:equalWidth="0" w:num="1">
            <w:col w:w="11240"/>
          </w:cols>
          <w:pgMar w:left="320" w:top="1404"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168594113v3</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lvl w:ilvl="1">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1)"/>
      <w:numFmt w:val="decimal"/>
      <w:start w:val="3"/>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lowerLetter"/>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1)"/>
      <w:numFmt w:val="lowerLetter"/>
      <w:start w:val="1"/>
    </w:lvl>
  </w:abstractNum>
  <w:abstractNum w:abstractNumId="35">
    <w:nsid w:val="1DBABF00"/>
    <w:multiLevelType w:val="hybridMultilevel"/>
    <w:lvl w:ilvl="0">
      <w:lvlJc w:val="left"/>
      <w:lvlText w:val="(%1)"/>
      <w:numFmt w:val="lowerLetter"/>
      <w:start w:val="1"/>
    </w:lvl>
  </w:abstractNum>
  <w:abstractNum w:abstractNumId="36">
    <w:nsid w:val="4AD084E9"/>
    <w:multiLevelType w:val="hybridMultilevel"/>
    <w:lvl w:ilvl="0">
      <w:lvlJc w:val="left"/>
      <w:lvlText w:val="%1"/>
      <w:numFmt w:val="decimal"/>
      <w:start w:val="21"/>
    </w:lvl>
  </w:abstractNum>
  <w:abstractNum w:abstractNumId="37">
    <w:nsid w:val="1F48EAA1"/>
    <w:multiLevelType w:val="hybridMultilevel"/>
    <w:lvl w:ilvl="0">
      <w:lvlJc w:val="left"/>
      <w:lvlText w:val="%1"/>
      <w:numFmt w:val="decimal"/>
      <w:start w:val="104"/>
    </w:lvl>
  </w:abstractNum>
  <w:abstractNum w:abstractNumId="38">
    <w:nsid w:val="1381823A"/>
    <w:multiLevelType w:val="hybridMultilevel"/>
    <w:lvl w:ilvl="0">
      <w:lvlJc w:val="left"/>
      <w:lvlText w:val="(%1)"/>
      <w:numFmt w:val="lowerLetter"/>
      <w:start w:val="3"/>
    </w:lvl>
    <w:lvl w:ilvl="1">
      <w:lvlJc w:val="left"/>
      <w:lvlText w:val="**"/>
      <w:numFmt w:val="bullet"/>
      <w:start w:val="1"/>
    </w:lvl>
  </w:abstractNum>
  <w:abstractNum w:abstractNumId="39">
    <w:nsid w:val="5DB70AE5"/>
    <w:multiLevelType w:val="hybridMultilevel"/>
    <w:lvl w:ilvl="0">
      <w:lvlJc w:val="left"/>
      <w:lvlText w:val="(%1)"/>
      <w:numFmt w:val="lowerRoman"/>
      <w:start w:val="1"/>
    </w:lvl>
  </w:abstractNum>
  <w:abstractNum w:abstractNumId="40">
    <w:nsid w:val="100F8FCA"/>
    <w:multiLevelType w:val="hybridMultilevel"/>
    <w:lvl w:ilvl="0">
      <w:lvlJc w:val="left"/>
      <w:lvlText w:val="(%1)"/>
      <w:numFmt w:val="lowerRoman"/>
      <w:start w:val="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5"/>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decimal"/>
      <w:start w:val="280"/>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3"/>
    </w:lvl>
  </w:abstractNum>
  <w:abstractNum w:abstractNumId="59">
    <w:nsid w:val="A0382C5"/>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lowerLetter"/>
      <w:start w:val="1"/>
    </w:lvl>
  </w:abstractNum>
  <w:abstractNum w:abstractNumId="60">
    <w:nsid w:val="8F2B15E"/>
    <w:multiLevelType w:val="hybridMultilevel"/>
    <w:lvl w:ilvl="0">
      <w:lvlJc w:val="left"/>
      <w:lvlText w:val="%1"/>
      <w:numFmt w:val="decimal"/>
      <w:start w:val="1"/>
    </w:lvl>
    <w:lvl w:ilvl="1">
      <w:lvlJc w:val="left"/>
      <w:lvlText w:val="%2."/>
      <w:numFmt w:val="lowerLetter"/>
      <w:start w:val="4"/>
    </w:lvl>
  </w:abstractNum>
  <w:abstractNum w:abstractNumId="61">
    <w:nsid w:val="1A32234B"/>
    <w:multiLevelType w:val="hybridMultilevel"/>
    <w:lvl w:ilvl="0">
      <w:lvlJc w:val="left"/>
      <w:lvlText w:val="%1."/>
      <w:numFmt w:val="decimal"/>
      <w:start w:val="5"/>
    </w:lvl>
    <w:lvl w:ilvl="1">
      <w:lvlJc w:val="left"/>
      <w:lvlText w:val="%2"/>
      <w:numFmt w:val="lowerLetter"/>
      <w:start w:val="1"/>
    </w:lvl>
  </w:abstractNum>
  <w:abstractNum w:abstractNumId="62">
    <w:nsid w:val="3B0FD379"/>
    <w:multiLevelType w:val="hybridMultilevel"/>
    <w:lvl w:ilvl="0">
      <w:lvlJc w:val="left"/>
      <w:lvlText w:val="%1."/>
      <w:numFmt w:val="decimal"/>
      <w:start w:val="1"/>
    </w:lvl>
    <w:lvl w:ilvl="1">
      <w:lvlJc w:val="left"/>
      <w:lvlText w:val="%2."/>
      <w:numFmt w:val="lowerLetter"/>
      <w:start w:val="1"/>
    </w:lvl>
  </w:abstractNum>
  <w:abstractNum w:abstractNumId="63">
    <w:nsid w:val="68EB2F63"/>
    <w:multiLevelType w:val="hybridMultilevel"/>
    <w:lvl w:ilvl="0">
      <w:lvlJc w:val="left"/>
      <w:lvlText w:val="%1"/>
      <w:numFmt w:val="decimal"/>
      <w:start w:val="1"/>
    </w:lvl>
    <w:lvl w:ilvl="1">
      <w:lvlJc w:val="left"/>
      <w:lvlText w:val="%2."/>
      <w:numFmt w:val="lowerLetter"/>
      <w:start w:val="4"/>
    </w:lvl>
  </w:abstractNum>
  <w:abstractNum w:abstractNumId="64">
    <w:nsid w:val="4962813B"/>
    <w:multiLevelType w:val="hybridMultilevel"/>
    <w:lvl w:ilvl="0">
      <w:lvlJc w:val="left"/>
      <w:lvlText w:val="%1."/>
      <w:numFmt w:val="decimal"/>
      <w:start w:val="5"/>
    </w:lvl>
    <w:lvl w:ilvl="1">
      <w:lvlJc w:val="left"/>
      <w:lvlText w:val="%2"/>
      <w:numFmt w:val="lowerLetter"/>
      <w:start w:val="1"/>
    </w:lvl>
  </w:abstractNum>
  <w:abstractNum w:abstractNumId="65">
    <w:nsid w:val="60B6DF70"/>
    <w:multiLevelType w:val="hybridMultilevel"/>
    <w:lvl w:ilvl="0">
      <w:lvlJc w:val="left"/>
      <w:lvlText w:val="%1."/>
      <w:numFmt w:val="decimal"/>
      <w:start w:val="1"/>
    </w:lvl>
    <w:lvl w:ilvl="1">
      <w:lvlJc w:val="left"/>
      <w:lvlText w:val="%2."/>
      <w:numFmt w:val="lowerLetter"/>
      <w:start w:val="1"/>
    </w:lvl>
  </w:abstractNum>
  <w:abstractNum w:abstractNumId="66">
    <w:nsid w:val="6A5EE64"/>
    <w:multiLevelType w:val="hybridMultilevel"/>
    <w:lvl w:ilvl="0">
      <w:lvlJc w:val="left"/>
      <w:lvlText w:val="%1."/>
      <w:numFmt w:val="decimal"/>
      <w:start w:val="1"/>
    </w:lvl>
    <w:lvl w:ilvl="1">
      <w:lvlJc w:val="left"/>
      <w:lvlText w:val="%2."/>
      <w:numFmt w:val="lowerLetter"/>
      <w:start w:val="1"/>
    </w:lvl>
  </w:abstractNum>
  <w:abstractNum w:abstractNumId="67">
    <w:nsid w:val="14330624"/>
    <w:multiLevelType w:val="hybridMultilevel"/>
    <w:lvl w:ilvl="0">
      <w:lvlJc w:val="left"/>
      <w:lvlText w:val="%1."/>
      <w:numFmt w:val="decimal"/>
      <w:start w:val="1"/>
    </w:lvl>
    <w:lvl w:ilvl="1">
      <w:lvlJc w:val="left"/>
      <w:lvlText w:val="%2."/>
      <w:numFmt w:val="lowerLetter"/>
      <w:start w:val="1"/>
    </w:lvl>
  </w:abstractNum>
  <w:abstractNum w:abstractNumId="68">
    <w:nsid w:val="7FFFCA11"/>
    <w:multiLevelType w:val="hybridMultilevel"/>
    <w:lvl w:ilvl="0">
      <w:lvlJc w:val="left"/>
      <w:lvlText w:val="%1."/>
      <w:numFmt w:val="decimal"/>
      <w:start w:val="1"/>
    </w:lvl>
    <w:lvl w:ilvl="1">
      <w:lvlJc w:val="left"/>
      <w:lvlText w:val="%2."/>
      <w:numFmt w:val="lowerLetter"/>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7"/>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1)"/>
      <w:numFmt w:val="decimal"/>
      <w:start w:val="3"/>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1" Type="http://schemas.openxmlformats.org/officeDocument/2006/relationships/image" Target="media/image68.png"/><Relationship Id="rId112" Type="http://schemas.openxmlformats.org/officeDocument/2006/relationships/image" Target="media/image69.png"/><Relationship Id="rId130" Type="http://schemas.openxmlformats.org/officeDocument/2006/relationships/image" Target="media/image70.png"/><Relationship Id="rId132" Type="http://schemas.openxmlformats.org/officeDocument/2006/relationships/image" Target="media/image71.png"/><Relationship Id="rId133" Type="http://schemas.openxmlformats.org/officeDocument/2006/relationships/image" Target="media/image72.png"/><Relationship Id="rId134" Type="http://schemas.openxmlformats.org/officeDocument/2006/relationships/image" Target="media/image73.png"/><Relationship Id="rId135" Type="http://schemas.openxmlformats.org/officeDocument/2006/relationships/image" Target="media/image74.png"/><Relationship Id="rId136" Type="http://schemas.openxmlformats.org/officeDocument/2006/relationships/image" Target="media/image75.png"/><Relationship Id="rId137" Type="http://schemas.openxmlformats.org/officeDocument/2006/relationships/image" Target="media/image76.png"/><Relationship Id="rId138" Type="http://schemas.openxmlformats.org/officeDocument/2006/relationships/image" Target="media/image77.png"/><Relationship Id="rId139" Type="http://schemas.openxmlformats.org/officeDocument/2006/relationships/image" Target="media/image78.png"/><Relationship Id="rId140" Type="http://schemas.openxmlformats.org/officeDocument/2006/relationships/image" Target="media/image79.png"/><Relationship Id="rId141" Type="http://schemas.openxmlformats.org/officeDocument/2006/relationships/image" Target="media/image80.png"/><Relationship Id="rId142" Type="http://schemas.openxmlformats.org/officeDocument/2006/relationships/image" Target="media/image81.png"/><Relationship Id="rId143" Type="http://schemas.openxmlformats.org/officeDocument/2006/relationships/image" Target="media/image82.png"/><Relationship Id="rId144" Type="http://schemas.openxmlformats.org/officeDocument/2006/relationships/image" Target="media/image83.png"/><Relationship Id="rId145" Type="http://schemas.openxmlformats.org/officeDocument/2006/relationships/image" Target="media/image84.png"/><Relationship Id="rId146" Type="http://schemas.openxmlformats.org/officeDocument/2006/relationships/image" Target="media/image85.png"/><Relationship Id="rId147" Type="http://schemas.openxmlformats.org/officeDocument/2006/relationships/image" Target="media/image86.pn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75" Type="http://schemas.openxmlformats.org/officeDocument/2006/relationships/hyperlink" Target="https://www.sec.gov/Archives/edgar/data/790816/000156459018014516/bdn-ex31_19.htm" TargetMode="External"/><Relationship Id="rId76" Type="http://schemas.openxmlformats.org/officeDocument/2006/relationships/hyperlink" Target="https://www.sec.gov/Archives/edgar/data/790816/000156459018004554/bdn-ex311_171.htm" TargetMode="External"/><Relationship Id="rId77" Type="http://schemas.openxmlformats.org/officeDocument/2006/relationships/hyperlink" Target="https://www.sec.gov/Archives/edgar/data/0000790816/000156459018004554/bdn-ex312_172.htm" TargetMode="External"/><Relationship Id="rId78" Type="http://schemas.openxmlformats.org/officeDocument/2006/relationships/hyperlink" Target="https://www.sec.gov/Archives/edgar/data/790816/0001047469-97-008120.txt" TargetMode="External"/><Relationship Id="rId79" Type="http://schemas.openxmlformats.org/officeDocument/2006/relationships/hyperlink" Target="https://www.sec.gov/Archives/edgar/data/790816/0000950116-98-000851.txt" TargetMode="External"/><Relationship Id="rId80" Type="http://schemas.openxmlformats.org/officeDocument/2006/relationships/hyperlink" Target="https://www.sec.gov/Archives/edgar/data/790816/0000950116-98-001099.txt" TargetMode="External"/><Relationship Id="rId81" Type="http://schemas.openxmlformats.org/officeDocument/2006/relationships/hyperlink" Target="https://www.sec.gov/Archives/edgar/data/790816/0000950116-98-002019.txt" TargetMode="External"/><Relationship Id="rId82" Type="http://schemas.openxmlformats.org/officeDocument/2006/relationships/hyperlink" Target="https://www.sec.gov/Archives/edgar/data/0000790816/000095011604000806/ex10-14.txt" TargetMode="External"/><Relationship Id="rId83" Type="http://schemas.openxmlformats.org/officeDocument/2006/relationships/hyperlink" Target="https://www.sec.gov/Archives/edgar/data/790816/000095011604000806/ex10-15.txt" TargetMode="External"/><Relationship Id="rId84" Type="http://schemas.openxmlformats.org/officeDocument/2006/relationships/hyperlink" Target="https://www.sec.gov/Archives/edgar/data/790816/000095011604000806/ex10-16.txt" TargetMode="External"/><Relationship Id="rId85" Type="http://schemas.openxmlformats.org/officeDocument/2006/relationships/hyperlink" Target="https://www.sec.gov/Archives/edgar/data/0000790816/000095011604000806/ex10-17.txt" TargetMode="External"/><Relationship Id="rId86" Type="http://schemas.openxmlformats.org/officeDocument/2006/relationships/hyperlink" Target="https://www.sec.gov/Archives/edgar/data/0000790816/000095011604000806/ex10-18.txt" TargetMode="External"/><Relationship Id="rId87" Type="http://schemas.openxmlformats.org/officeDocument/2006/relationships/hyperlink" Target="https://www.sec.gov/Archives/edgar/data/0000790816/000095011604000806/ex10-19.txt" TargetMode="External"/><Relationship Id="rId88" Type="http://schemas.openxmlformats.org/officeDocument/2006/relationships/hyperlink" Target="https://www.sec.gov/Archives/edgar/data/790816/000095011604002850/ex3-1.txt" TargetMode="External"/><Relationship Id="rId89" Type="http://schemas.openxmlformats.org/officeDocument/2006/relationships/hyperlink" Target="https://www.sec.gov/Archives/edgar/data/790816/000095011606000060/ex10-1.txt" TargetMode="External"/><Relationship Id="rId90" Type="http://schemas.openxmlformats.org/officeDocument/2006/relationships/hyperlink" Target="https://www.sec.gov/Archives/edgar/data/790816/000112528206005160/p414588_ex10-1.htm" TargetMode="External"/><Relationship Id="rId92" Type="http://schemas.openxmlformats.org/officeDocument/2006/relationships/hyperlink" Target="https://www.sec.gov/Archives/edgar/data/0000790816/000095012310074712/c04542exv3w1.htm" TargetMode="External"/><Relationship Id="rId93" Type="http://schemas.openxmlformats.org/officeDocument/2006/relationships/hyperlink" Target="https://www.sec.gov/Archives/edgar/data/790816/000119312512159078/d332645dex32.htm" TargetMode="External"/><Relationship Id="rId94" Type="http://schemas.openxmlformats.org/officeDocument/2006/relationships/hyperlink" Target="https://www.sec.gov/Archives/edgar/data/790816/000156459018014516/bdn-ex32_6.htm" TargetMode="External"/><Relationship Id="rId95" Type="http://schemas.openxmlformats.org/officeDocument/2006/relationships/hyperlink" Target="https://www.sec.gov/Archives/edgar/data/790816/000095011604003122/ex4-1.txt" TargetMode="External"/><Relationship Id="rId96" Type="http://schemas.openxmlformats.org/officeDocument/2006/relationships/hyperlink" Target="https://www.sec.gov/Archives/edgar/data/790816/000095011605001994/ex4-1.htm" TargetMode="External"/><Relationship Id="rId97" Type="http://schemas.openxmlformats.org/officeDocument/2006/relationships/hyperlink" Target="https://www.sec.gov/Archives/edgar/data/790816/000112528206006096/p415118_ex4-1.htm" TargetMode="External"/><Relationship Id="rId98" Type="http://schemas.openxmlformats.org/officeDocument/2006/relationships/hyperlink" Target="https://www.sec.gov/Archives/edgar/data/0000790816/000095012311032875/w82170aexv4w1.htm" TargetMode="External"/><Relationship Id="rId99" Type="http://schemas.openxmlformats.org/officeDocument/2006/relationships/hyperlink" Target="https://www.sec.gov/Archives/edgar/data/790816/000119312514344322/d790870dex42.htm" TargetMode="External"/><Relationship Id="rId100" Type="http://schemas.openxmlformats.org/officeDocument/2006/relationships/hyperlink" Target="https://www.sec.gov/Archives/edgar/data/790816/000119312517347068/d497911dex42.htm" TargetMode="External"/><Relationship Id="rId101" Type="http://schemas.openxmlformats.org/officeDocument/2006/relationships/hyperlink" Target="https://www.sec.gov/Archives/edgar/data/790816/000162828019012248/exhibit42bdn8-kformof4.htm" TargetMode="External"/><Relationship Id="rId102" Type="http://schemas.openxmlformats.org/officeDocument/2006/relationships/hyperlink" Target="https://www.sec.gov/Archives/edgar/data/790816/000119312522303852/d446489dex41.htm" TargetMode="External"/><Relationship Id="rId103" Type="http://schemas.openxmlformats.org/officeDocument/2006/relationships/hyperlink" Target="https://www.sec.gov/Archives/edgar/data/790816/000119312524094769/d819413dex41.htm" TargetMode="External"/><Relationship Id="rId104" Type="http://schemas.openxmlformats.org/officeDocument/2006/relationships/hyperlink" Target="https://www.sec.gov/Archives/edgar/data/790816/000119312525151261/d38815dex41.htm" TargetMode="External"/><Relationship Id="rId105" Type="http://schemas.openxmlformats.org/officeDocument/2006/relationships/hyperlink" Target="https://www.sec.gov/Archives/edgar/data/790816/000119312525230150/d38319dex41.htm" TargetMode="External"/><Relationship Id="rId106" Type="http://schemas.openxmlformats.org/officeDocument/2006/relationships/hyperlink" Target="https://www.sec.gov/Archives/edgar/data/790816/000079081620000008/bdnex4710-kq42019.htm" TargetMode="External"/><Relationship Id="rId107" Type="http://schemas.openxmlformats.org/officeDocument/2006/relationships/hyperlink" Target="https://www.sec.gov/Archives/edgar/data/790816/000156459018017024/bdn-ex101_7.htm" TargetMode="External"/><Relationship Id="rId108" Type="http://schemas.openxmlformats.org/officeDocument/2006/relationships/hyperlink" Target="https://www.sec.gov/Archives/edgar/data/790816/000079081615000104/exhibit101-08x10x2015.htm" TargetMode="External"/><Relationship Id="rId109" Type="http://schemas.openxmlformats.org/officeDocument/2006/relationships/hyperlink" Target="https://www.sec.gov/Archives/edgar/data/790816/000095012310019030/c96837exv10w41.htm" TargetMode="External"/><Relationship Id="rId110" Type="http://schemas.openxmlformats.org/officeDocument/2006/relationships/hyperlink" Target="https://www.sec.gov/Archives/edgar/data/790816/000089322007000370/w30425aexv10w3.htm" TargetMode="External"/><Relationship Id="rId111" Type="http://schemas.openxmlformats.org/officeDocument/2006/relationships/hyperlink" Target="https://www.sec.gov/Archives/edgar/data/0000790816/000079081612000031/exhibit104.htm" TargetMode="External"/><Relationship Id="rId113" Type="http://schemas.openxmlformats.org/officeDocument/2006/relationships/hyperlink" Target="https://www.sec.gov/Archives/edgar/data/790816/000119312517110239/d321197ddef14a.htm" TargetMode="External"/><Relationship Id="rId114" Type="http://schemas.openxmlformats.org/officeDocument/2006/relationships/hyperlink" Target="https://www.sec.gov/Archives/edgar/data/0000790816/000156459018009316/bdn-ex101_121.htm" TargetMode="External"/><Relationship Id="rId115" Type="http://schemas.openxmlformats.org/officeDocument/2006/relationships/hyperlink" Target="https://www.sec.gov/Archives/edgar/data/790816/000079081621000008/bdnex109q42020.htm" TargetMode="External"/><Relationship Id="rId116" Type="http://schemas.openxmlformats.org/officeDocument/2006/relationships/hyperlink" Target="https://www.sec.gov/Archives/edgar/data/790816/000089322007001811/w34823exv10w6.htm" TargetMode="External"/><Relationship Id="rId117" Type="http://schemas.openxmlformats.org/officeDocument/2006/relationships/hyperlink" Target="https://www.sec.gov/Archives/edgar/data/790816/000095012310008586/c95644exv10w1.htm" TargetMode="External"/><Relationship Id="rId118" Type="http://schemas.openxmlformats.org/officeDocument/2006/relationships/hyperlink" Target="https://www.sec.gov/Archives/edgar/data/0000790816/000079081615000046/exhibit105_02232015.htm" TargetMode="External"/><Relationship Id="rId119" Type="http://schemas.openxmlformats.org/officeDocument/2006/relationships/hyperlink" Target="https://www.sec.gov/Archives/edgar/data/790816/000079081623000013/bdnex1025.htm" TargetMode="External"/><Relationship Id="rId120" Type="http://schemas.openxmlformats.org/officeDocument/2006/relationships/hyperlink" Target="https://www.sec.gov/Archives/edgar/data/790816/000079081622000009/bdnex102810-kq42021.htm" TargetMode="External"/><Relationship Id="rId121" Type="http://schemas.openxmlformats.org/officeDocument/2006/relationships/hyperlink" Target="https://www.sec.gov/Archives/edgar/data/790816/000119312523088039/d443870ddefa14a.htm" TargetMode="External"/><Relationship Id="rId122" Type="http://schemas.openxmlformats.org/officeDocument/2006/relationships/hyperlink" Target="https://www.sec.gov/Archives/edgar/data/790816/000079081624000022/bdn-x2024prsuawardformex101.htm" TargetMode="External"/><Relationship Id="rId123" Type="http://schemas.openxmlformats.org/officeDocument/2006/relationships/hyperlink" Target="https://www.sec.gov/Archives/edgar/data/790816/000079081624000022/bdn-x2024oprsuawardformout.htm" TargetMode="External"/><Relationship Id="rId124" Type="http://schemas.openxmlformats.org/officeDocument/2006/relationships/hyperlink" Target="https://www.sec.gov/Archives/edgar/data/790816/000079081625000020/bdnex101-x2025prsuawardfor.htm" TargetMode="External"/><Relationship Id="rId125" Type="http://schemas.openxmlformats.org/officeDocument/2006/relationships/hyperlink" Target="https://www.sec.gov/Archives/edgar/data/790816/000079081625000020/bdnex102-x2025oprsuawardfo.htm" TargetMode="External"/><Relationship Id="rId126" Type="http://schemas.openxmlformats.org/officeDocument/2006/relationships/hyperlink" Target="https://www.sec.gov/ix?doc=/Archives/edgar/data/790816/000095017025050902/bdn-20250404.htm" TargetMode="External"/><Relationship Id="rId127" Type="http://schemas.openxmlformats.org/officeDocument/2006/relationships/hyperlink" Target="https://www.sec.gov/Archives/edgar/data/790816/000079081625000046/exhibit101-bdnxfirstamendm.htm" TargetMode="External"/><Relationship Id="rId128" Type="http://schemas.openxmlformats.org/officeDocument/2006/relationships/hyperlink" Target="https://www.sec.gov/Archives/edgar/data/790816/000156459016030075/bdn-ex141_6.htm" TargetMode="External"/><Relationship Id="rId129" Type="http://schemas.openxmlformats.org/officeDocument/2006/relationships/hyperlink" Target="https://www.sec.gov/Archives/edgar/data/790816/000079081625000009/exhibit191-brandywinerealt.htm" TargetMode="External"/><Relationship Id="rId131" Type="http://schemas.openxmlformats.org/officeDocument/2006/relationships/hyperlink" Target="https://www.sec.gov/Archives/edgar/data/790816/000079081624000014/bdn2023-ex971xdoddxfrankc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2026-02-23T16:05:15Z</dcterms:created>
  <dcterms:modified xsi:type="dcterms:W3CDTF">2026-02-23T16:05:15Z</dcterms:modified>
</cp:coreProperties>
</file>