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8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8"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Brandywine Realty Trust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Brandywine Operating Partnership, L.P.</w:t>
      </w:r>
    </w:p>
    <w:p>
      <w:pPr>
        <w:jc w:val="center"/>
        <w:spacing w:after="0" w:line="214"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(Brandywine Realty Trust)</w:t>
            </w:r>
          </w:p>
        </w:tc>
        <w:tc>
          <w:tcPr>
            <w:tcW w:w="234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001-9106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23-2413352</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(Brandywine Operating Partnership, L.P.)</w:t>
            </w:r>
          </w:p>
        </w:tc>
        <w:tc>
          <w:tcPr>
            <w:tcW w:w="234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000-24407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23-2862640</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(Commission file number)</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color w:val="auto"/>
              </w:rPr>
              <w:t>or Organization)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1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 of Beneficial Interest</w:t>
            </w:r>
          </w:p>
        </w:tc>
        <w:tc>
          <w:tcPr>
            <w:tcW w:w="2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BDN</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167"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4"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0" w:lineRule="exact"/>
        <w:rPr>
          <w:sz w:val="24"/>
          <w:szCs w:val="24"/>
          <w:color w:val="auto"/>
        </w:rPr>
      </w:pPr>
    </w:p>
    <w:p>
      <w:pPr>
        <w:ind w:left="20"/>
        <w:spacing w:after="0" w:line="161" w:lineRule="exact"/>
        <w:tabs>
          <w:tab w:leader="none" w:pos="520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20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Brandywine Realty Trust:</w:t>
            </w:r>
          </w:p>
        </w:tc>
        <w:tc>
          <w:tcPr>
            <w:tcW w:w="560" w:type="dxa"/>
            <w:vAlign w:val="bottom"/>
          </w:tcPr>
          <w:p>
            <w:pPr>
              <w:spacing w:after="0"/>
              <w:rPr>
                <w:sz w:val="16"/>
                <w:szCs w:val="16"/>
                <w:color w:val="auto"/>
              </w:rPr>
            </w:pPr>
          </w:p>
        </w:tc>
      </w:tr>
      <w:tr>
        <w:trPr>
          <w:trHeight w:val="307"/>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Brandywine Operating Partnership, L.P.:</w:t>
            </w:r>
          </w:p>
        </w:tc>
      </w:tr>
      <w:tr>
        <w:trPr>
          <w:trHeight w:val="320"/>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34" w:lineRule="exact"/>
        <w:rPr>
          <w:sz w:val="24"/>
          <w:szCs w:val="24"/>
          <w:color w:val="auto"/>
        </w:rPr>
      </w:pPr>
    </w:p>
    <w:p>
      <w:pPr>
        <w:spacing w:after="0" w:line="161" w:lineRule="exact"/>
        <w:tabs>
          <w:tab w:leader="none" w:pos="1960" w:val="left"/>
          <w:tab w:leader="none" w:pos="352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96" w:lineRule="exact"/>
        <w:rPr>
          <w:sz w:val="24"/>
          <w:szCs w:val="24"/>
          <w:color w:val="auto"/>
        </w:rPr>
      </w:pPr>
    </w:p>
    <w:p>
      <w:pPr>
        <w:sectPr>
          <w:pgSz w:w="11900" w:h="16838" w:orient="portrait"/>
          <w:cols w:equalWidth="0" w:num="2">
            <w:col w:w="2340" w:space="180"/>
            <w:col w:w="8720"/>
          </w:cols>
          <w:pgMar w:left="320" w:top="229" w:right="339" w:bottom="0" w:gutter="0" w:footer="0" w:header="0"/>
          <w:type w:val="continuous"/>
        </w:sect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159" w:lineRule="exact"/>
        <w:rPr>
          <w:sz w:val="24"/>
          <w:szCs w:val="24"/>
          <w:color w:val="auto"/>
        </w:rPr>
      </w:pPr>
    </w:p>
    <w:p>
      <w:pPr>
        <w:ind w:left="20"/>
        <w:spacing w:after="0" w:line="161" w:lineRule="exact"/>
        <w:tabs>
          <w:tab w:leader="none" w:pos="4040" w:val="left"/>
          <w:tab w:leader="none" w:pos="5980" w:val="left"/>
          <w:tab w:leader="none" w:pos="65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ind w:left="20"/>
        <w:spacing w:after="0" w:line="161" w:lineRule="exact"/>
        <w:tabs>
          <w:tab w:leader="none" w:pos="4040" w:val="left"/>
          <w:tab w:leader="none" w:pos="5980" w:val="left"/>
          <w:tab w:leader="none" w:pos="65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 total of 173,711,845 Common Shares of Beneficial Interest, par value $0.01 per share of Brandywine Realty Trust, were outstanding as of April 26, 2026.</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504825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(this "Form 10-Q") combines the quarterly reports on Form 10-Q for the period ended March 31, 2026 of Brandywine Realty Trust (the “Parent Company”) and Brandywine Operating Partnership L.P. (the “Operating Partnership”). The Parent Company is a Maryland real estate investment trust, or REIT, that owns its assets and conducts its operations through the Operating Partnership, a Delaware limited partnership, and subsidiaries of the Operating Partnership. The Parent Company, the Operating Partnership and their consolidated subsidiaries are collectively referred to in this report as the “Company”. In addition, terms such as “we”, “us”, and “our” used in this report may refer to the Company, the Parent Company, or the Operating Partnership.</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Parent Company is the sole general partner of the Operating Partnership and, as of March 31, 2026, owned a 99.7% interest in the Operating Partnership. The remaining 0.3% interest consists of common units of limited partnership interest issued by the Operating Partnership to third parties in exchange for contributions of properties to the Operating Partnership. As the sole general partner of the Operating Partnership, the Parent Company has full and complete authority over the Operating Partnership’s day-to-day operations and management.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significant assets other than its investment in the Operating Partnership. Therefore, the assets and liabilities of the Parent Company and the Operating Partnership are the same in their respective financial statements. The separate discussions of the Parent Company and the Operating Partnership in this Form 10-Q should be read in conjunction with each other to understand the results of the Company’s operations on a consolidated basis and how management operates the Company.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enterprise. The management of the Parent Company consists of the same members as the management of the Operating Partnership.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combining the quarterly reports on Form 10-Q of the Parent Company and the Operating Partnership into a single report will:</w:t>
      </w:r>
    </w:p>
    <w:p>
      <w:pPr>
        <w:spacing w:after="0" w:line="185" w:lineRule="exact"/>
        <w:rPr>
          <w:sz w:val="20"/>
          <w:szCs w:val="20"/>
          <w:color w:val="auto"/>
        </w:rPr>
      </w:pPr>
    </w:p>
    <w:p>
      <w:pPr>
        <w:ind w:left="1460" w:hanging="642"/>
        <w:spacing w:after="0" w:line="28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 better understanding by the investors of the Parent Company and the Operating Partnership by enabling them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1460" w:hanging="642"/>
        <w:spacing w:after="0" w:line="28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duplicative disclosures and provide a more straightforward presentation in light of the fact that a substantial portion of the disclosure applies to both the Parent Company and the Operating Partnership; and</w:t>
      </w:r>
    </w:p>
    <w:p>
      <w:pPr>
        <w:spacing w:after="0" w:line="1"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time and cost efficiencies through the preparation of one combined report instead of two separate reports.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few differences between the Parent Company and the Operating Partnership, which are reflected in the footnote disclosures in this Form 10-Q. The Company believes it is important to understand the differences between the Parent Company and the Operating Partnership in the context of how these entities operate as an interrelated consolidated company. The Parent Company is a REIT, whose only material asset is its ownership of partnership interests of the Operating Partnership. As a result, the Parent Company does not conduct business itself, other than acting as the sole general partner of the Operating Partnership, issuing equity from time to time (and contributing the net proceeds of such issuances to the Operating Partnership) and guaranteeing the debt obligations of the Operating Partnership. The Operating Partnership holds substantially all the assets of the Company, including the Company’s ownership interests in the real estate ventures described below. The Operating Partnership conducts the operations of the Company’s business and is structured as a partnership with no publicly traded equity. Except for net proceeds from equity issuances by the Parent Company, which are contributed to the Operating Partnership in exchange for partnership units, the Operating Partnership generates the capital required by the Company’s business through the Operating Partnership’s operations, by the Operating Partnership’s incurrence of indebtedness (directly and through subsidiaries) and through the issuance of partnership units of the Operating Partnership or equity interests in subsidiaries of the Operating Partnership.</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and non-controlling interests in the Parent Company and the Operating Partnership’s equity are the main areas of difference between the consolidated financial statements of the Parent Company and the Operating Partnership. The common units of limited partnership interest in the Operating Partnership are accounted for as partners’ equity in the Operating Partnership’s financial statements while the common units of limited partnership interests held by parties other than the Parent Company are presented as non-controlling interests in the Parent Company’s financial statements. The differences between the Parent Company and the Operating Partnership’s equity relate to the differences in the equity issued at the Parent Company and Operating Partnership levels.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differences between the Parent Company and the Operating Partnership, this Form 10-Q presents the following as separate notes or sections for each of the Parent Company and the Operating Partnership:</w:t>
      </w:r>
    </w:p>
    <w:p>
      <w:pPr>
        <w:spacing w:after="0" w:line="135" w:lineRule="exact"/>
        <w:rPr>
          <w:sz w:val="20"/>
          <w:szCs w:val="20"/>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w:t>
      </w:r>
    </w:p>
    <w:p>
      <w:pPr>
        <w:spacing w:after="0" w:line="117"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regarding the Parent Company’s and Operating Partnership’s Equity.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Form 10-Q also includes separate Item 4. (Controls and Procedures) disclosures and separate Exhibit 31 and 32 certifications for each of the Parent Company and the Operating Partnership in order to establish that the Chief Executive Officer and the Chief Financial Officer of each entity have made the requisite certifications and that the Parent Company and Operating Partnership are compliant with Rule 13a-15 or Rule 15d-15 of the Securities Exchange Act of 1934, as amended (the “Exchange Act”), and 18 U.S.C. § 1350.</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 separate sections in this Form 10-Q for the Parent Company and the Operating Partnership specifically refer to the Parent Company and the Operating Partnership. In the sections that combine disclosures of the Parent Company and the Operating Partnership, this Form 10-Q refers to such disclosures as those of the Company. Although the Operating Partnership is generally the entity that directly or indirectly enters into contracts and real estate ventures and holds assets and incurs debt, reference to the Company is appropriate because the business is one enterprise and the Parent Company operates the business through the Operating Partnership.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880" w:type="dxa"/>
            <w:vAlign w:val="bottom"/>
            <w:gridSpan w:val="14"/>
            <w:vMerge w:val="restart"/>
          </w:tcPr>
          <w:p>
            <w:pPr>
              <w:jc w:val="center"/>
              <w:ind w:right="382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6880" w:type="dxa"/>
            <w:vAlign w:val="bottom"/>
            <w:gridSpan w:val="14"/>
            <w:vMerge w:val="continue"/>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3060" w:type="dxa"/>
            <w:vAlign w:val="bottom"/>
            <w:tcBorders>
              <w:top w:val="single" w:sz="8" w:color="0000FF"/>
            </w:tcBorders>
            <w:gridSpan w:val="9"/>
          </w:tcPr>
          <w:p>
            <w:pPr>
              <w:spacing w:after="0"/>
              <w:rPr>
                <w:sz w:val="24"/>
                <w:szCs w:val="24"/>
                <w:color w:val="auto"/>
              </w:rPr>
            </w:pPr>
          </w:p>
        </w:tc>
        <w:tc>
          <w:tcPr>
            <w:tcW w:w="38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Brandywine Realty Trust</w:t>
            </w:r>
          </w:p>
        </w:tc>
        <w:tc>
          <w:tcPr>
            <w:tcW w:w="8620" w:type="dxa"/>
            <w:vAlign w:val="bottom"/>
            <w:gridSpan w:val="18"/>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of Brandywine Realty Trust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5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2026 and December 31, 2025</w:t>
            </w:r>
          </w:p>
        </w:tc>
        <w:tc>
          <w:tcPr>
            <w:tcW w:w="51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6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months ended March 31, 2026 and 2025</w:t>
            </w:r>
          </w:p>
        </w:tc>
        <w:tc>
          <w:tcPr>
            <w:tcW w:w="38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76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ended March 31, 2026 and 2025</w:t>
            </w:r>
          </w:p>
        </w:tc>
        <w:tc>
          <w:tcPr>
            <w:tcW w:w="2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74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Consolidated Statements of Beneficiaries’ Equity for the three months ended March 31, 2026 and 2025</w:t>
            </w:r>
          </w:p>
        </w:tc>
        <w:tc>
          <w:tcPr>
            <w:tcW w:w="312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of Brandywine Operating Partnership, L.P.</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5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2026 and December 31, 2025</w:t>
            </w:r>
          </w:p>
        </w:tc>
        <w:tc>
          <w:tcPr>
            <w:tcW w:w="51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6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months ended March 31, 2026 and 2025</w:t>
            </w:r>
          </w:p>
        </w:tc>
        <w:tc>
          <w:tcPr>
            <w:tcW w:w="38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76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ended March 31, 2026 and 2025</w:t>
            </w:r>
          </w:p>
        </w:tc>
        <w:tc>
          <w:tcPr>
            <w:tcW w:w="2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7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Equity for the three months ended March 31, 2026 and 2025</w:t>
            </w:r>
          </w:p>
        </w:tc>
        <w:tc>
          <w:tcPr>
            <w:tcW w:w="34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6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58"/>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58"/>
        </w:trPr>
        <w:tc>
          <w:tcPr>
            <w:tcW w:w="48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58"/>
        </w:trPr>
        <w:tc>
          <w:tcPr>
            <w:tcW w:w="1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13"/>
          </w:tcPr>
          <w:p>
            <w:pPr>
              <w:jc w:val="center"/>
              <w:ind w:right="3960"/>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2060" w:type="dxa"/>
            <w:vAlign w:val="bottom"/>
            <w:gridSpan w:val="7"/>
          </w:tcPr>
          <w:p>
            <w:pPr>
              <w:spacing w:after="0"/>
              <w:rPr>
                <w:sz w:val="24"/>
                <w:szCs w:val="24"/>
                <w:color w:val="auto"/>
              </w:rPr>
            </w:pPr>
          </w:p>
        </w:tc>
        <w:tc>
          <w:tcPr>
            <w:tcW w:w="2740" w:type="dxa"/>
            <w:vAlign w:val="bottom"/>
            <w:tcBorders>
              <w:top w:val="single" w:sz="8" w:color="0000FF"/>
            </w:tcBorders>
            <w:gridSpan w:val="5"/>
          </w:tcPr>
          <w:p>
            <w:pPr>
              <w:spacing w:after="0"/>
              <w:rPr>
                <w:sz w:val="24"/>
                <w:szCs w:val="24"/>
                <w:color w:val="auto"/>
              </w:rPr>
            </w:pPr>
          </w:p>
        </w:tc>
        <w:tc>
          <w:tcPr>
            <w:tcW w:w="398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58"/>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080" w:type="dxa"/>
            <w:vAlign w:val="bottom"/>
            <w:gridSpan w:val="2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49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78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2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80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4"/>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4"/>
                <w:szCs w:val="24"/>
                <w:color w:val="auto"/>
              </w:rPr>
            </w:pPr>
          </w:p>
        </w:tc>
        <w:tc>
          <w:tcPr>
            <w:tcW w:w="8360" w:type="dxa"/>
            <w:vAlign w:val="bottom"/>
            <w:gridSpan w:val="1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58"/>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4"/>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52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combined Form 10-Q is being filed separately by Brandywine Realty Trust and Brandywine Operating Partnership, L.P.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6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Glossary</w:t>
            </w:r>
          </w:p>
        </w:tc>
      </w:tr>
      <w:tr>
        <w:trPr>
          <w:trHeight w:val="459"/>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Defined terms used in this Form 10-Q:</w:t>
            </w:r>
          </w:p>
        </w:tc>
      </w:tr>
      <w:tr>
        <w:trPr>
          <w:trHeight w:val="270"/>
        </w:trPr>
        <w:tc>
          <w:tcPr>
            <w:tcW w:w="262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annual rent</w:t>
            </w:r>
          </w:p>
        </w:tc>
        <w:tc>
          <w:tcPr>
            <w:tcW w:w="8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Represents total initial contractual rental rate under the applicable leases (as impacted by free rent) plus contractual</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fixed rent increases due under the applicable leases averaged over the total terms (without regard to extension</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options) of the applicable leases. For comparison purposes, the Company excludes new leases of space when the</w:t>
            </w:r>
          </w:p>
        </w:tc>
      </w:tr>
      <w:tr>
        <w:trPr>
          <w:trHeight w:val="229"/>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previous lease of such space ended more than 12 months prior to the signing date for the new leases.</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Core Portfolio/Core Properties</w:t>
            </w:r>
          </w:p>
        </w:tc>
        <w:tc>
          <w:tcPr>
            <w:tcW w:w="8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Includes all wholly-owned operating properties. Does not include Properties under development/redevelopment,</w:t>
            </w:r>
          </w:p>
        </w:tc>
      </w:tr>
      <w:tr>
        <w:trPr>
          <w:trHeight w:val="239"/>
        </w:trPr>
        <w:tc>
          <w:tcPr>
            <w:tcW w:w="26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recently completed not-stabilized Properties, and properties held for sale.</w:t>
            </w:r>
          </w:p>
        </w:tc>
      </w:tr>
      <w:tr>
        <w:trPr>
          <w:trHeight w:val="180"/>
        </w:trPr>
        <w:tc>
          <w:tcPr>
            <w:tcW w:w="26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Funds From Operations (“FFO”)</w:t>
            </w:r>
          </w:p>
        </w:tc>
        <w:tc>
          <w:tcPr>
            <w:tcW w:w="862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Is a non-GAAP financial measure, which the Company believes is useful to investors. The Company computes</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FFO in accordance with standards established by the National Association of Real Estate Investment Trusts</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(NAREIT), which may not be comparable to FFO reported by other REITs that do not compute FFO in accordance</w:t>
            </w:r>
          </w:p>
        </w:tc>
      </w:tr>
      <w:tr>
        <w:trPr>
          <w:trHeight w:val="176"/>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with the NAREIT definition, or that interpret the NAREIT definition differently than the Company. NAREIT</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defines FFO as net income (loss) before noncontrolling interests of unitholders (preferred and common) and</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excluding gains (losses) on sales of depreciable operating property, impairment losses on depreciable consolidated</w:t>
            </w:r>
          </w:p>
        </w:tc>
      </w:tr>
      <w:tr>
        <w:trPr>
          <w:trHeight w:val="176"/>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real estate, impairment losses on investments in unconsolidated real estate ventures and extraordinary items</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(computed  in  accordance  with  GAAP);  plus  real  estate  related  depreciation  and  amortization  (excluding</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amortization of deferred financing costs), and after adjustment for unconsolidated real estate ventures. Net income,</w:t>
            </w:r>
          </w:p>
        </w:tc>
      </w:tr>
      <w:tr>
        <w:trPr>
          <w:trHeight w:val="176"/>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the GAAP measure that the Company believes to be most directly comparable to FFO, includes depreciation and</w:t>
            </w:r>
          </w:p>
        </w:tc>
      </w:tr>
      <w:tr>
        <w:trPr>
          <w:trHeight w:val="184"/>
        </w:trPr>
        <w:tc>
          <w:tcPr>
            <w:tcW w:w="2620" w:type="dxa"/>
            <w:vAlign w:val="bottom"/>
            <w:shd w:val="clear" w:color="auto" w:fill="CCEEFF"/>
          </w:tcPr>
          <w:p>
            <w:pPr>
              <w:spacing w:after="0"/>
              <w:rPr>
                <w:sz w:val="16"/>
                <w:szCs w:val="16"/>
                <w:color w:val="auto"/>
              </w:rPr>
            </w:pPr>
          </w:p>
        </w:tc>
        <w:tc>
          <w:tcPr>
            <w:tcW w:w="86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amortization expenses, gains or losses on property sales and noncontrolling interests. FFO per share is calculated by</w:t>
            </w:r>
          </w:p>
        </w:tc>
      </w:tr>
      <w:tr>
        <w:trPr>
          <w:trHeight w:val="180"/>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81" w:lineRule="exact"/>
              <w:rPr>
                <w:sz w:val="20"/>
                <w:szCs w:val="20"/>
                <w:color w:val="auto"/>
              </w:rPr>
            </w:pPr>
            <w:r>
              <w:rPr>
                <w:rFonts w:ascii="Times New Roman" w:cs="Times New Roman" w:eastAsia="Times New Roman" w:hAnsi="Times New Roman"/>
                <w:sz w:val="18"/>
                <w:szCs w:val="18"/>
                <w:color w:val="auto"/>
              </w:rPr>
              <w:t>dividing FFO by fully diluted shares available to common shareholders and limited partnership unitholders. See</w:t>
            </w:r>
          </w:p>
        </w:tc>
      </w:tr>
      <w:tr>
        <w:trPr>
          <w:trHeight w:val="176"/>
        </w:trPr>
        <w:tc>
          <w:tcPr>
            <w:tcW w:w="2620" w:type="dxa"/>
            <w:vAlign w:val="bottom"/>
            <w:shd w:val="clear" w:color="auto" w:fill="CCEEFF"/>
          </w:tcPr>
          <w:p>
            <w:pPr>
              <w:spacing w:after="0"/>
              <w:rPr>
                <w:sz w:val="15"/>
                <w:szCs w:val="15"/>
                <w:color w:val="auto"/>
              </w:rPr>
            </w:pPr>
          </w:p>
        </w:tc>
        <w:tc>
          <w:tcPr>
            <w:tcW w:w="8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 Item 2 of Part 1 of this</w:t>
            </w:r>
          </w:p>
        </w:tc>
      </w:tr>
      <w:tr>
        <w:trPr>
          <w:trHeight w:val="243"/>
        </w:trPr>
        <w:tc>
          <w:tcPr>
            <w:tcW w:w="2620" w:type="dxa"/>
            <w:vAlign w:val="bottom"/>
            <w:shd w:val="clear" w:color="auto" w:fill="CCEEFF"/>
          </w:tcPr>
          <w:p>
            <w:pPr>
              <w:spacing w:after="0"/>
              <w:rPr>
                <w:sz w:val="21"/>
                <w:szCs w:val="21"/>
                <w:color w:val="auto"/>
              </w:rPr>
            </w:pP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10-Q for a reconciliation of net income (loss) attributable to common shares and common unitholders to FFO.</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Operating Income (“NOI”)</w:t>
            </w:r>
          </w:p>
        </w:tc>
        <w:tc>
          <w:tcPr>
            <w:tcW w:w="8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 a non-GAAP financial measure, which the Company defines as total revenue less property operating expenses,</w:t>
            </w:r>
          </w:p>
        </w:tc>
      </w:tr>
      <w:tr>
        <w:trPr>
          <w:trHeight w:val="184"/>
        </w:trPr>
        <w:tc>
          <w:tcPr>
            <w:tcW w:w="2620" w:type="dxa"/>
            <w:vAlign w:val="bottom"/>
          </w:tcPr>
          <w:p>
            <w:pPr>
              <w:spacing w:after="0"/>
              <w:rPr>
                <w:sz w:val="16"/>
                <w:szCs w:val="16"/>
                <w:color w:val="auto"/>
              </w:rPr>
            </w:pPr>
          </w:p>
        </w:tc>
        <w:tc>
          <w:tcPr>
            <w:tcW w:w="86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real estate taxes and third-party management expenses. Property operating expenses that are included in</w:t>
            </w:r>
          </w:p>
        </w:tc>
      </w:tr>
      <w:tr>
        <w:trPr>
          <w:trHeight w:val="180"/>
        </w:trPr>
        <w:tc>
          <w:tcPr>
            <w:tcW w:w="2620" w:type="dxa"/>
            <w:vAlign w:val="bottom"/>
          </w:tcPr>
          <w:p>
            <w:pPr>
              <w:spacing w:after="0"/>
              <w:rPr>
                <w:sz w:val="15"/>
                <w:szCs w:val="15"/>
                <w:color w:val="auto"/>
              </w:rPr>
            </w:pPr>
          </w:p>
        </w:tc>
        <w:tc>
          <w:tcPr>
            <w:tcW w:w="86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determining NOI consist of costs that are necessary and allocable to our operating properties such as utilities,</w:t>
            </w:r>
          </w:p>
        </w:tc>
      </w:tr>
      <w:tr>
        <w:trPr>
          <w:trHeight w:val="175"/>
        </w:trPr>
        <w:tc>
          <w:tcPr>
            <w:tcW w:w="2620" w:type="dxa"/>
            <w:vAlign w:val="bottom"/>
          </w:tcPr>
          <w:p>
            <w:pPr>
              <w:spacing w:after="0"/>
              <w:rPr>
                <w:sz w:val="15"/>
                <w:szCs w:val="15"/>
                <w:color w:val="auto"/>
              </w:rPr>
            </w:pPr>
          </w:p>
        </w:tc>
        <w:tc>
          <w:tcPr>
            <w:tcW w:w="8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property-level  salaries,  repairs  and  maintenance,  property  insurance  and  management  fees.  General  and</w:t>
            </w:r>
          </w:p>
        </w:tc>
      </w:tr>
      <w:tr>
        <w:trPr>
          <w:trHeight w:val="184"/>
        </w:trPr>
        <w:tc>
          <w:tcPr>
            <w:tcW w:w="2620" w:type="dxa"/>
            <w:vAlign w:val="bottom"/>
          </w:tcPr>
          <w:p>
            <w:pPr>
              <w:spacing w:after="0"/>
              <w:rPr>
                <w:sz w:val="16"/>
                <w:szCs w:val="16"/>
                <w:color w:val="auto"/>
              </w:rPr>
            </w:pPr>
          </w:p>
        </w:tc>
        <w:tc>
          <w:tcPr>
            <w:tcW w:w="86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administrative expenses that are not reflected in NOI primarily consist of corporate-level salaries, amortization of</w:t>
            </w:r>
          </w:p>
        </w:tc>
      </w:tr>
      <w:tr>
        <w:trPr>
          <w:trHeight w:val="180"/>
        </w:trPr>
        <w:tc>
          <w:tcPr>
            <w:tcW w:w="2620" w:type="dxa"/>
            <w:vAlign w:val="bottom"/>
          </w:tcPr>
          <w:p>
            <w:pPr>
              <w:spacing w:after="0"/>
              <w:rPr>
                <w:sz w:val="15"/>
                <w:szCs w:val="15"/>
                <w:color w:val="auto"/>
              </w:rPr>
            </w:pPr>
          </w:p>
        </w:tc>
        <w:tc>
          <w:tcPr>
            <w:tcW w:w="86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share awards and professional fees that are incurred as part of corporate office management. NOI is a non-GAAP</w:t>
            </w:r>
          </w:p>
        </w:tc>
      </w:tr>
      <w:tr>
        <w:trPr>
          <w:trHeight w:val="175"/>
        </w:trPr>
        <w:tc>
          <w:tcPr>
            <w:tcW w:w="2620" w:type="dxa"/>
            <w:vAlign w:val="bottom"/>
          </w:tcPr>
          <w:p>
            <w:pPr>
              <w:spacing w:after="0"/>
              <w:rPr>
                <w:sz w:val="15"/>
                <w:szCs w:val="15"/>
                <w:color w:val="auto"/>
              </w:rPr>
            </w:pPr>
          </w:p>
        </w:tc>
        <w:tc>
          <w:tcPr>
            <w:tcW w:w="8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financial measure that we report because we believe it is useful to our investors. See Note 14, “Segment</w:t>
            </w:r>
          </w:p>
        </w:tc>
      </w:tr>
      <w:tr>
        <w:trPr>
          <w:trHeight w:val="184"/>
        </w:trPr>
        <w:tc>
          <w:tcPr>
            <w:tcW w:w="2620" w:type="dxa"/>
            <w:vAlign w:val="bottom"/>
          </w:tcPr>
          <w:p>
            <w:pPr>
              <w:spacing w:after="0"/>
              <w:rPr>
                <w:sz w:val="16"/>
                <w:szCs w:val="16"/>
                <w:color w:val="auto"/>
              </w:rPr>
            </w:pPr>
          </w:p>
        </w:tc>
        <w:tc>
          <w:tcPr>
            <w:tcW w:w="86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Information,” to our consolidated financial statements in this Form 10-Q for additional information on NOI,</w:t>
            </w:r>
          </w:p>
        </w:tc>
      </w:tr>
      <w:tr>
        <w:trPr>
          <w:trHeight w:val="234"/>
        </w:trPr>
        <w:tc>
          <w:tcPr>
            <w:tcW w:w="262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including a reconciliation of NOI to our consolidated net income (loss) as defined by GAAP.</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rate</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Includes base rent plus reimbursement for operating expenses and real estate taxes.</w:t>
            </w: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Same Store Properties</w:t>
            </w:r>
          </w:p>
        </w:tc>
        <w:tc>
          <w:tcPr>
            <w:tcW w:w="8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 refer to properties acquired or placed in-service prior to the beginning of the earliest period presented and</w:t>
            </w:r>
          </w:p>
        </w:tc>
      </w:tr>
      <w:tr>
        <w:trPr>
          <w:trHeight w:val="204"/>
        </w:trPr>
        <w:tc>
          <w:tcPr>
            <w:tcW w:w="2620" w:type="dxa"/>
            <w:vAlign w:val="bottom"/>
          </w:tcPr>
          <w:p>
            <w:pPr>
              <w:spacing w:after="0"/>
              <w:rPr>
                <w:sz w:val="17"/>
                <w:szCs w:val="17"/>
                <w:color w:val="auto"/>
              </w:rPr>
            </w:pPr>
          </w:p>
        </w:tc>
        <w:tc>
          <w:tcPr>
            <w:tcW w:w="862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owned by us through the end of the latest period presented as Same Store Properties. Same Store Properties</w:t>
            </w:r>
          </w:p>
        </w:tc>
      </w:tr>
    </w:tbl>
    <w:p>
      <w:pPr>
        <w:jc w:val="both"/>
        <w:ind w:left="2860" w:right="20"/>
        <w:spacing w:after="0" w:line="208" w:lineRule="auto"/>
        <w:rPr>
          <w:sz w:val="20"/>
          <w:szCs w:val="20"/>
          <w:color w:val="auto"/>
        </w:rPr>
      </w:pPr>
      <w:r>
        <w:rPr>
          <w:rFonts w:ascii="Times New Roman" w:cs="Times New Roman" w:eastAsia="Times New Roman" w:hAnsi="Times New Roman"/>
          <w:sz w:val="18"/>
          <w:szCs w:val="18"/>
          <w:color w:val="auto"/>
        </w:rPr>
        <w:t>therefore exclude properties placed in-service, acquired, repositioned, held for sale or in development or redevelopment after the beginning of the earliest period presented or disposed of prior to the end of the latest period presented. Accordingly, it takes at least one year and one quarter after a property is acquired for that property to be</w:t>
      </w:r>
    </w:p>
    <w:p>
      <w:pPr>
        <w:spacing w:after="0" w:line="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included in Same Store Properties.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2"/>
                <w:szCs w:val="12"/>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2"/>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 estate investments: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properties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3,724,851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3,753,780</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(1,279,283)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(1,259,090)</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ground leases, net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51,399</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Right of use asset - operating leases, net</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17,657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17,806</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Operating real estate investments, net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2,514,461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2,563,895</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Construction-in-progress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118,543</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Land held for development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70,405</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Prepaid leasehold interests in land held for development, net</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27,762</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real estate investments, net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2,737,992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2,780,605</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and escrows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22,154</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Assets held for sale, net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rent receivable, net of allowance of $424 and $424 as of March 31, 2026 and December 31, 2025, respectively</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182,651</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Investment in unconsolidated real estate ventures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314,326</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costs, net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79,549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22,426</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137,170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122,227</w:t>
            </w:r>
          </w:p>
        </w:tc>
        <w:tc>
          <w:tcPr>
            <w:tcW w:w="0" w:type="dxa"/>
            <w:vAlign w:val="bottom"/>
          </w:tcPr>
          <w:p>
            <w:pPr>
              <w:spacing w:after="0"/>
              <w:rPr>
                <w:sz w:val="1"/>
                <w:szCs w:val="1"/>
                <w:color w:val="auto"/>
              </w:rPr>
            </w:pPr>
          </w:p>
        </w:tc>
      </w:tr>
      <w:tr>
        <w:trPr>
          <w:trHeight w:val="214"/>
        </w:trPr>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3,587,847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3,586,240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BENEFICIARIES'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Secured term loans, net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234,079</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Unsecured credit facility</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Unsecured term loans, net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249,389</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Unsecured senior notes, net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2,073,656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2,073,394</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143,826</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Distributions payable</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14,108</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income, gains and rent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22,569</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Intangible liabilities, net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12,713</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Lease liability - operating leases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23,720</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13,133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14,588</w:t>
            </w:r>
          </w:p>
        </w:tc>
        <w:tc>
          <w:tcPr>
            <w:tcW w:w="0" w:type="dxa"/>
            <w:vAlign w:val="bottom"/>
          </w:tcPr>
          <w:p>
            <w:pPr>
              <w:spacing w:after="0"/>
              <w:rPr>
                <w:sz w:val="1"/>
                <w:szCs w:val="1"/>
                <w:color w:val="auto"/>
              </w:rPr>
            </w:pPr>
          </w:p>
        </w:tc>
      </w:tr>
      <w:tr>
        <w:trPr>
          <w:trHeight w:val="214"/>
        </w:trPr>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2,848,655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2,788,386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Commitments and contingencies (See Note 15)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Brandywine Realty Trust's Equity: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84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Common Shares of Brandywine Realty Trust's beneficial interest, $0.01 par value; shares authorized 400,000,000; 173,711,845 and 173,699,039 issued</w:t>
            </w: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81"/>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and outstanding as of March 31, 2026 and December 31, 2025, respectively</w:t>
            </w: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paid-in-capital</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3,202,662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3,199,838</w:t>
            </w: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payable in common shares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shares in grantor trust, 1,947,350 and 1,583,000 issued and outstanding as of March 31, 2026 and December 31, 2025, respectively</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(23,069)</w:t>
            </w: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Cumulative earnings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556,661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605,252</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Cumulative distributions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(3,026,869)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(3,012,654)</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Brandywine Realty Trust's equity</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734,313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792,732</w:t>
            </w: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beneficiaries' equity</w:t>
            </w: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739,192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797,854</w:t>
            </w:r>
          </w:p>
        </w:tc>
        <w:tc>
          <w:tcPr>
            <w:tcW w:w="0" w:type="dxa"/>
            <w:vAlign w:val="bottom"/>
          </w:tcPr>
          <w:p>
            <w:pPr>
              <w:spacing w:after="0"/>
              <w:rPr>
                <w:sz w:val="1"/>
                <w:szCs w:val="1"/>
                <w:color w:val="auto"/>
              </w:rPr>
            </w:pP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liabilities and beneficiaries' equity</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3,587,847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3,586,240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9"/>
        </w:trPr>
        <w:tc>
          <w:tcPr>
            <w:tcW w:w="8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4"/>
        </w:trPr>
        <w:tc>
          <w:tcPr>
            <w:tcW w:w="8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3"/>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Rents</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114,428</w:t>
            </w: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fees, labor reimbursement and leasing</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5,829</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r>
      <w:tr>
        <w:trPr>
          <w:trHeight w:val="163"/>
        </w:trPr>
        <w:tc>
          <w:tcPr>
            <w:tcW w:w="8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121,516</w:t>
            </w:r>
          </w:p>
        </w:tc>
      </w:tr>
      <w:tr>
        <w:trPr>
          <w:trHeight w:val="18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33,526</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 estate taxes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w:t>
            </w: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44,353</w:t>
            </w: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17,470</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impairment</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125,494</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109,414</w:t>
            </w:r>
          </w:p>
        </w:tc>
      </w:tr>
      <w:tr>
        <w:trPr>
          <w:trHeight w:val="16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Gain on sale of real estate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disposition of real estate</w:t>
            </w:r>
          </w:p>
        </w:tc>
        <w:tc>
          <w:tcPr>
            <w:tcW w:w="2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w:t>
            </w:r>
          </w:p>
        </w:tc>
      </w:tr>
      <w:tr>
        <w:trPr>
          <w:trHeight w:val="175"/>
        </w:trPr>
        <w:tc>
          <w:tcPr>
            <w:tcW w:w="8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gain on sale of real estate</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r>
      <w:tr>
        <w:trPr>
          <w:trHeight w:val="163"/>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15,161</w:t>
            </w:r>
          </w:p>
        </w:tc>
      </w:tr>
      <w:tr>
        <w:trPr>
          <w:trHeight w:val="18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(31,845)</w:t>
            </w: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 amortization of deferred financing costs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r>
      <w:tr>
        <w:trPr>
          <w:trHeight w:val="181"/>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loss of unconsolidated real estate ventures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w:t>
            </w:r>
          </w:p>
        </w:tc>
      </w:tr>
      <w:tr>
        <w:trPr>
          <w:trHeight w:val="170"/>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2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7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r>
      <w:tr>
        <w:trPr>
          <w:trHeight w:val="17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provision</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r>
      <w:tr>
        <w:trPr>
          <w:trHeight w:val="17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Brandywine Realty Trust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(26,975)</w:t>
            </w:r>
          </w:p>
        </w:tc>
      </w:tr>
      <w:tr>
        <w:trPr>
          <w:trHeight w:val="17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Nonforfeitable dividends allocated to unvested restricted shareholders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Common Shareholders of Brandywine Realty Trust</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(48,909)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Common Share</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loss per Common Share</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weighted average shares outstanding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173,756,736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172,915,482</w:t>
            </w:r>
          </w:p>
        </w:tc>
      </w:tr>
      <w:tr>
        <w:trPr>
          <w:trHeight w:val="166"/>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weighted average shares outstanding</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173,756,736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172,915,482</w:t>
            </w: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r>
      <w:tr>
        <w:trPr>
          <w:trHeight w:val="195"/>
        </w:trPr>
        <w:tc>
          <w:tcPr>
            <w:tcW w:w="8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 financial instruments</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18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(29,608)</w:t>
            </w:r>
          </w:p>
        </w:tc>
      </w:tr>
      <w:tr>
        <w:trPr>
          <w:trHeight w:val="196"/>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Brandywine Realty Trust</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BENEFICIARIES’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right="140"/>
        <w:spacing w:after="0" w:line="265" w:lineRule="auto"/>
        <w:rPr>
          <w:sz w:val="20"/>
          <w:szCs w:val="20"/>
          <w:color w:val="auto"/>
        </w:rPr>
      </w:pPr>
      <w:r>
        <w:rPr>
          <w:rFonts w:ascii="Times New Roman" w:cs="Times New Roman" w:eastAsia="Times New Roman" w:hAnsi="Times New Roman"/>
          <w:sz w:val="13"/>
          <w:szCs w:val="13"/>
          <w:b w:val="1"/>
          <w:bCs w:val="1"/>
          <w:color w:val="auto"/>
        </w:rPr>
        <w:t>BALANCE, December 31, 2025</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loss</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p>
      <w:pPr>
        <w:spacing w:after="0" w:line="53" w:lineRule="exact"/>
        <w:rPr>
          <w:sz w:val="20"/>
          <w:szCs w:val="20"/>
          <w:color w:val="auto"/>
        </w:rPr>
      </w:pPr>
    </w:p>
    <w:p>
      <w:pPr>
        <w:ind w:left="140" w:right="80"/>
        <w:spacing w:after="0" w:line="281" w:lineRule="auto"/>
        <w:rPr>
          <w:sz w:val="20"/>
          <w:szCs w:val="20"/>
          <w:color w:val="auto"/>
        </w:rPr>
      </w:pPr>
      <w:r>
        <w:rPr>
          <w:rFonts w:ascii="Times New Roman" w:cs="Times New Roman" w:eastAsia="Times New Roman" w:hAnsi="Times New Roman"/>
          <w:sz w:val="12"/>
          <w:szCs w:val="12"/>
          <w:color w:val="auto"/>
        </w:rPr>
        <w:t>Repurchase and retirement of Common Shares of Beneficial Interest</w:t>
      </w:r>
    </w:p>
    <w:p>
      <w:pPr>
        <w:spacing w:after="0" w:line="28" w:lineRule="exact"/>
        <w:rPr>
          <w:sz w:val="20"/>
          <w:szCs w:val="20"/>
          <w:color w:val="auto"/>
        </w:rPr>
      </w:pPr>
    </w:p>
    <w:p>
      <w:pPr>
        <w:ind w:left="140" w:right="80"/>
        <w:spacing w:after="0" w:line="262" w:lineRule="auto"/>
        <w:rPr>
          <w:sz w:val="20"/>
          <w:szCs w:val="20"/>
          <w:color w:val="auto"/>
        </w:rPr>
      </w:pPr>
      <w:r>
        <w:rPr>
          <w:rFonts w:ascii="Times New Roman" w:cs="Times New Roman" w:eastAsia="Times New Roman" w:hAnsi="Times New Roman"/>
          <w:sz w:val="13"/>
          <w:szCs w:val="13"/>
          <w:color w:val="auto"/>
        </w:rPr>
        <w:t>Share-based compensation activity</w:t>
      </w:r>
    </w:p>
    <w:p>
      <w:pPr>
        <w:spacing w:after="0" w:line="25" w:lineRule="exact"/>
        <w:rPr>
          <w:sz w:val="20"/>
          <w:szCs w:val="20"/>
          <w:color w:val="auto"/>
        </w:rPr>
      </w:pPr>
    </w:p>
    <w:p>
      <w:pPr>
        <w:jc w:val="both"/>
        <w:ind w:left="140" w:right="180"/>
        <w:spacing w:after="0" w:line="250" w:lineRule="auto"/>
        <w:rPr>
          <w:sz w:val="20"/>
          <w:szCs w:val="20"/>
          <w:color w:val="auto"/>
        </w:rPr>
      </w:pPr>
      <w:r>
        <w:rPr>
          <w:rFonts w:ascii="Times New Roman" w:cs="Times New Roman" w:eastAsia="Times New Roman" w:hAnsi="Times New Roman"/>
          <w:sz w:val="13"/>
          <w:szCs w:val="13"/>
          <w:color w:val="auto"/>
        </w:rPr>
        <w:t>Share Issuance from/(to) Deferred Compensation Plan</w:t>
      </w:r>
    </w:p>
    <w:p>
      <w:pPr>
        <w:spacing w:after="0" w:line="46" w:lineRule="exact"/>
        <w:rPr>
          <w:sz w:val="20"/>
          <w:szCs w:val="20"/>
          <w:color w:val="auto"/>
        </w:rPr>
      </w:pPr>
    </w:p>
    <w:p>
      <w:pPr>
        <w:ind w:left="140" w:right="260"/>
        <w:spacing w:after="0" w:line="303" w:lineRule="auto"/>
        <w:rPr>
          <w:sz w:val="20"/>
          <w:szCs w:val="20"/>
          <w:color w:val="auto"/>
        </w:rPr>
      </w:pPr>
      <w:r>
        <w:rPr>
          <w:rFonts w:ascii="Times New Roman" w:cs="Times New Roman" w:eastAsia="Times New Roman" w:hAnsi="Times New Roman"/>
          <w:sz w:val="12"/>
          <w:szCs w:val="12"/>
          <w:color w:val="auto"/>
        </w:rPr>
        <w:t>Reallocation of Noncontrolling interest</w:t>
      </w:r>
    </w:p>
    <w:p>
      <w:pPr>
        <w:spacing w:after="0" w:line="3" w:lineRule="exact"/>
        <w:rPr>
          <w:sz w:val="20"/>
          <w:szCs w:val="20"/>
          <w:color w:val="auto"/>
        </w:rPr>
      </w:pPr>
    </w:p>
    <w:p>
      <w:pPr>
        <w:ind w:left="140"/>
        <w:spacing w:after="0" w:line="262" w:lineRule="auto"/>
        <w:rPr>
          <w:sz w:val="20"/>
          <w:szCs w:val="20"/>
          <w:color w:val="auto"/>
        </w:rPr>
      </w:pPr>
      <w:r>
        <w:rPr>
          <w:rFonts w:ascii="Times New Roman" w:cs="Times New Roman" w:eastAsia="Times New Roman" w:hAnsi="Times New Roman"/>
          <w:sz w:val="13"/>
          <w:szCs w:val="13"/>
          <w:color w:val="auto"/>
        </w:rPr>
        <w:t>Distributions declared $0.08 per share)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March 31, 2026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9"/>
              </w:rPr>
              <w:t>Common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Shares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Brandywine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Deferred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Rabbi</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Realty</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Accumulated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Number 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Trust/Deferred</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1"/>
              </w:rPr>
              <w:t>Trust's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Additional</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Payable in</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Common</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Compensation</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3"/>
              </w:rPr>
              <w:t>beneficial</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Paid-in</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9"/>
              </w:rPr>
              <w:t>Common</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Shares in</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Cumulative</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7"/>
              </w:rPr>
              <w:t>Comprehensive</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Cumulative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Noncontrolling</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8"/>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Shares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Shares</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3"/>
              </w:rPr>
              <w:t>interest</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Capital</w:t>
            </w:r>
          </w:p>
        </w:tc>
        <w:tc>
          <w:tcPr>
            <w:tcW w:w="12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2"/>
              </w:rPr>
              <w:t>Shares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Grantor Trust</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Earnings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Income (Loss)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4"/>
              </w:rPr>
              <w:t>Distributions</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Total</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5"/>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173,699,039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1,583,000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3,199,838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605,252</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(3,012,654)</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5,122</w:t>
            </w:r>
          </w:p>
        </w:tc>
        <w:tc>
          <w:tcPr>
            <w:tcW w:w="8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797,854</w:t>
            </w: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(48,591)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w:t>
            </w:r>
          </w:p>
        </w:tc>
      </w:tr>
      <w:tr>
        <w:trPr>
          <w:trHeight w:val="513"/>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r>
      <w:tr>
        <w:trPr>
          <w:trHeight w:val="351"/>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724,931</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r>
      <w:tr>
        <w:trPr>
          <w:trHeight w:val="513"/>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(14,256)</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7"/>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173,711,845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1,947,350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3,202,662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556,661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(3,026,869)</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4,879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739,192</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-1971040</wp:posOffset>
            </wp:positionV>
            <wp:extent cx="71323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-1619250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-1165225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-616585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-170815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40"/>
            <w:col w:w="9620"/>
          </w:cols>
          <w:pgMar w:left="320" w:top="121" w:right="3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BENEFICIARIES’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4"/>
              </w:rPr>
              <w:t>Common</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4"/>
              </w:rPr>
              <w:t>Shares of</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Brandywine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5"/>
              </w:rPr>
              <w:t>Deferred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Rabbi</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Realty</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Compensation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8"/>
              </w:rPr>
              <w:t>Accumulated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Trust/Deferred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Trust's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Additional</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Payable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Common</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Compensation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beneficial</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5"/>
              </w:rPr>
              <w:t>Paid-in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in Common</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Shares in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8"/>
              </w:rPr>
              <w:t>Cumulative</w:t>
            </w:r>
          </w:p>
        </w:tc>
        <w:tc>
          <w:tcPr>
            <w:tcW w:w="92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Comprehensive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8"/>
              </w:rPr>
              <w:t>Cumulative</w:t>
            </w:r>
          </w:p>
        </w:tc>
        <w:tc>
          <w:tcPr>
            <w:tcW w:w="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Shares</w:t>
            </w:r>
          </w:p>
        </w:tc>
        <w:tc>
          <w:tcPr>
            <w:tcW w:w="8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Shares</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interest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5"/>
              </w:rPr>
              <w:t>Capital</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8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Grantor Trust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5"/>
              </w:rPr>
              <w:t>Earnings</w:t>
            </w:r>
          </w:p>
        </w:tc>
        <w:tc>
          <w:tcPr>
            <w:tcW w:w="9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Income (Loss)</w:t>
            </w:r>
          </w:p>
        </w:tc>
        <w:tc>
          <w:tcPr>
            <w:tcW w:w="88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Distributions</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37"/>
        </w:trPr>
        <w:tc>
          <w:tcPr>
            <w:tcW w:w="16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auto"/>
              </w:rPr>
              <w:t>BALANCE, December 31,</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1,044,587</w:t>
            </w:r>
          </w:p>
        </w:tc>
        <w:tc>
          <w:tcPr>
            <w:tcW w:w="0" w:type="dxa"/>
            <w:vAlign w:val="bottom"/>
          </w:tcPr>
          <w:p>
            <w:pPr>
              <w:spacing w:after="0"/>
              <w:rPr>
                <w:sz w:val="1"/>
                <w:szCs w:val="1"/>
                <w:color w:val="auto"/>
              </w:rPr>
            </w:pPr>
          </w:p>
        </w:tc>
      </w:tr>
      <w:tr>
        <w:trPr>
          <w:trHeight w:val="186"/>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172,665,995</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1,221,333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3,182,621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20,456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(20,456)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783,499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2,521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(2,931,730)</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5,952</w:t>
            </w: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8"/>
              </w:rPr>
              <w:t>(26,975)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0" w:type="dxa"/>
            <w:vAlign w:val="bottom"/>
          </w:tcPr>
          <w:p>
            <w:pPr>
              <w:spacing w:after="0"/>
              <w:rPr>
                <w:sz w:val="1"/>
                <w:szCs w:val="1"/>
                <w:color w:val="auto"/>
              </w:rPr>
            </w:pPr>
          </w:p>
        </w:tc>
      </w:tr>
      <w:tr>
        <w:trPr>
          <w:trHeight w:val="173"/>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activity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439,776</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258,549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0" w:type="dxa"/>
            <w:vAlign w:val="bottom"/>
          </w:tcPr>
          <w:p>
            <w:pPr>
              <w:spacing w:after="0"/>
              <w:rPr>
                <w:sz w:val="1"/>
                <w:szCs w:val="1"/>
                <w:color w:val="auto"/>
              </w:rPr>
            </w:pPr>
          </w:p>
        </w:tc>
      </w:tr>
      <w:tr>
        <w:trPr>
          <w:trHeight w:val="157"/>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 Issuance from/(to)</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8"/>
              </w:rPr>
              <w:t>Deferred Compensation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Reallocation of</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Distributions declared ($0.15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(26,475)</w:t>
            </w:r>
          </w:p>
        </w:tc>
        <w:tc>
          <w:tcPr>
            <w:tcW w:w="0" w:type="dxa"/>
            <w:vAlign w:val="bottom"/>
          </w:tcPr>
          <w:p>
            <w:pPr>
              <w:spacing w:after="0"/>
              <w:rPr>
                <w:sz w:val="1"/>
                <w:szCs w:val="1"/>
                <w:color w:val="auto"/>
              </w:rPr>
            </w:pPr>
          </w:p>
        </w:tc>
      </w:tr>
      <w:tr>
        <w:trPr>
          <w:trHeight w:val="29"/>
        </w:trPr>
        <w:tc>
          <w:tcPr>
            <w:tcW w:w="16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173,050,963</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1,341,572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3,193,485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21,875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(21,875)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756,524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(2,958,128)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999,396</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44,353</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discount/(premium),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 compensation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Straight-line rent income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above (below) market leases, net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Ground rent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impairment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unconsolidated real estate ventures, including income distributions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gains and rent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tenant improvements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redevelopments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developments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Advances for the purchase of tenant assets, net of repayments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distributions from unconsolidated real estate ventures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Leasing costs paid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(44,628)</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unsecured term loan</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construction loan</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financing costs paid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for employee taxes upon vesting of share awards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paid to shareholders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47,987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(26,391)</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and restricted cash</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0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31,473</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Cash paid for interest, net of capitalized interest during the three months ended March 31, 2026 and 2025 of $918 and</w:t>
            </w:r>
          </w:p>
        </w:tc>
        <w:tc>
          <w:tcPr>
            <w:tcW w:w="1000" w:type="dxa"/>
            <w:vAlign w:val="bottom"/>
            <w:vMerge w:val="restart"/>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29,541</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$3,166, respectively</w:t>
            </w:r>
          </w:p>
        </w:tc>
        <w:tc>
          <w:tcPr>
            <w:tcW w:w="10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declared but not paid</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accounts payable at period end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0" w:type="dxa"/>
            <w:vAlign w:val="bottom"/>
          </w:tcPr>
          <w:p>
            <w:pPr>
              <w:spacing w:after="0"/>
              <w:rPr>
                <w:sz w:val="1"/>
                <w:szCs w:val="1"/>
                <w:color w:val="auto"/>
              </w:rPr>
            </w:pP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retention payable at period end</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204"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04"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and per unit information)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estate investments: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properties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3,724,851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3,753,780</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ground leases,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51,399</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Right of use asset - operating leases, net</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real estate investments, net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2,514,461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2,563,895</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Construction-in-progress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118,543</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 held for development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70,405</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leasehold interests in land held for development, net</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real estate investments, net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2,737,992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2,780,605</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and escrows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Assets held for sale,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rent receivable, net of allowance of $424 and $424 as of March 31, 2026 and December 31, 2025, respectively</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182,651</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314,326</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costs, net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137,170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122,227</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3,587,847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PARTNERS'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Secured term loans, net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credit facility</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term loans,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249,389</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senior notes, net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2,073,656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2,073,394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143,826</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payable</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14,108</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gains and rent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Intangible liabilities, net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liability - operating leases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23,720</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14,588</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2,848,655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2,788,386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(See Note 15)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Redeemable limited partnership units at redemption value; 515,595 and 515,595 issued and outstanding as of March 31, 2026 and</w:t>
            </w: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2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Brandywine Operating Partnership, L.P.'s equity:</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General Partnership Capital; 173,711,845 and 173,699,039 units issued and outstanding as of March 31, 2026 and December 31, 2025,</w:t>
            </w: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735,395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795,402</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202"/>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Brandywine Operating Partnership, L.P.'s equity</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735,181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793,621</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 - consolidated real estate ventures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96"/>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partners'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737,846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796,353</w:t>
            </w:r>
          </w:p>
        </w:tc>
        <w:tc>
          <w:tcPr>
            <w:tcW w:w="0" w:type="dxa"/>
            <w:vAlign w:val="bottom"/>
          </w:tcPr>
          <w:p>
            <w:pPr>
              <w:spacing w:after="0"/>
              <w:rPr>
                <w:sz w:val="1"/>
                <w:szCs w:val="1"/>
                <w:color w:val="auto"/>
              </w:rPr>
            </w:pPr>
          </w:p>
        </w:tc>
      </w:tr>
      <w:tr>
        <w:trPr>
          <w:trHeight w:val="203"/>
        </w:trPr>
        <w:tc>
          <w:tcPr>
            <w:tcW w:w="8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partners' equity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3,587,849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and per unit information)</w:t>
      </w:r>
    </w:p>
    <w:p>
      <w:pPr>
        <w:spacing w:after="0" w:line="11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4"/>
        </w:trPr>
        <w:tc>
          <w:tcPr>
            <w:tcW w:w="8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Rents</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114,428</w:t>
            </w: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fees, labor reimbursement and leasing</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5,829</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r>
      <w:tr>
        <w:trPr>
          <w:trHeight w:val="16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121,516</w:t>
            </w: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33,526</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 estate taxes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w:t>
            </w: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expenses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44,353</w:t>
            </w: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17,470</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impairment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125,494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109,414</w:t>
            </w:r>
          </w:p>
        </w:tc>
      </w:tr>
      <w:tr>
        <w:trPr>
          <w:trHeight w:val="16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Gain on sale of real estate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disposition of real estate</w:t>
            </w:r>
          </w:p>
        </w:tc>
        <w:tc>
          <w:tcPr>
            <w:tcW w:w="3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w:t>
            </w:r>
          </w:p>
        </w:tc>
      </w:tr>
      <w:tr>
        <w:trPr>
          <w:trHeight w:val="175"/>
        </w:trPr>
        <w:tc>
          <w:tcPr>
            <w:tcW w:w="8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gain on sale of real estate</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w:t>
            </w:r>
          </w:p>
        </w:tc>
      </w:tr>
      <w:tr>
        <w:trPr>
          <w:trHeight w:val="16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15,161</w:t>
            </w:r>
          </w:p>
        </w:tc>
      </w:tr>
      <w:tr>
        <w:trPr>
          <w:trHeight w:val="18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(31,845)</w:t>
            </w: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 amortization of deferred financing costs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r>
      <w:tr>
        <w:trPr>
          <w:trHeight w:val="181"/>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loss of unconsolidated real estate ventures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w:t>
            </w:r>
          </w:p>
        </w:tc>
      </w:tr>
      <w:tr>
        <w:trPr>
          <w:trHeight w:val="170"/>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3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75"/>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r>
      <w:tr>
        <w:trPr>
          <w:trHeight w:val="17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provision</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r>
      <w:tr>
        <w:trPr>
          <w:trHeight w:val="17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 - consolidated real estate ventures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Brandywine Operating Partnership, L.P.</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r>
      <w:tr>
        <w:trPr>
          <w:trHeight w:val="17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Nonforfeitable dividends allocated to unvested restricted unitholders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Common Partnership Unitholders of Brandywine Operating Partnership, L.P.</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(49,055)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(27,485)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Common Partnership Unit</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loss per Common Partnership Unit</w:t>
            </w: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weighted average common partnership units outstanding</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174,272,331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173,431,077</w:t>
            </w:r>
          </w:p>
        </w:tc>
      </w:tr>
      <w:tr>
        <w:trPr>
          <w:trHeight w:val="166"/>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weighted average common partnership units outstanding</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174,272,331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173,431,077</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r>
      <w:tr>
        <w:trPr>
          <w:trHeight w:val="195"/>
        </w:trPr>
        <w:tc>
          <w:tcPr>
            <w:tcW w:w="8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 financial instruments</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19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(29,608)</w:t>
            </w:r>
          </w:p>
        </w:tc>
      </w:tr>
      <w:tr>
        <w:trPr>
          <w:trHeight w:val="196"/>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 - consolidated real estate ventures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Brandywine Operating Partnership, L.P.</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units)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1"/>
                <w:szCs w:val="11"/>
                <w:b w:val="1"/>
                <w:bCs w:val="1"/>
                <w:color w:val="auto"/>
              </w:rPr>
              <w:t>General Partner Capital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 Interest -</w:t>
            </w: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4860" w:type="dxa"/>
            <w:vAlign w:val="bottom"/>
          </w:tcPr>
          <w:p>
            <w:pPr>
              <w:spacing w:after="0"/>
              <w:rPr>
                <w:sz w:val="7"/>
                <w:szCs w:val="7"/>
                <w:color w:val="auto"/>
              </w:rPr>
            </w:pPr>
          </w:p>
        </w:tc>
        <w:tc>
          <w:tcPr>
            <w:tcW w:w="12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spacing w:after="0"/>
              <w:rPr>
                <w:sz w:val="7"/>
                <w:szCs w:val="7"/>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7"/>
                <w:szCs w:val="7"/>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3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Consolidated Real</w:t>
            </w:r>
          </w:p>
        </w:tc>
        <w:tc>
          <w:tcPr>
            <w:tcW w:w="1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Partners' Equity</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Estate Ventures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173,699,039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795,402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2,732</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796,353</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1,567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Repurchase and retirement of LP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724,931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($0.08 per unit)</w:t>
            </w: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0" w:type="dxa"/>
            <w:vAlign w:val="bottom"/>
          </w:tcPr>
          <w:p>
            <w:pPr>
              <w:spacing w:after="0"/>
              <w:rPr>
                <w:sz w:val="1"/>
                <w:szCs w:val="1"/>
                <w:color w:val="auto"/>
              </w:rPr>
            </w:pPr>
          </w:p>
        </w:tc>
      </w:tr>
      <w:tr>
        <w:trPr>
          <w:trHeight w:val="19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173,711,845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737,846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PARTNERS’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units)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880" w:type="dxa"/>
            <w:vAlign w:val="bottom"/>
          </w:tcPr>
          <w:p>
            <w:pPr>
              <w:spacing w:after="0"/>
              <w:rPr>
                <w:sz w:val="12"/>
                <w:szCs w:val="12"/>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General Partner Capital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 Interest -</w:t>
            </w: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4880" w:type="dxa"/>
            <w:vAlign w:val="bottom"/>
          </w:tcPr>
          <w:p>
            <w:pPr>
              <w:spacing w:after="0"/>
              <w:rPr>
                <w:sz w:val="7"/>
                <w:szCs w:val="7"/>
                <w:color w:val="auto"/>
              </w:rPr>
            </w:pPr>
          </w:p>
        </w:tc>
        <w:tc>
          <w:tcPr>
            <w:tcW w:w="12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40" w:type="dxa"/>
            <w:vAlign w:val="bottom"/>
          </w:tcPr>
          <w:p>
            <w:pPr>
              <w:spacing w:after="0"/>
              <w:rPr>
                <w:sz w:val="7"/>
                <w:szCs w:val="7"/>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3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Consolidated Real</w:t>
            </w:r>
          </w:p>
        </w:tc>
        <w:tc>
          <w:tcPr>
            <w:tcW w:w="1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Partners' Equity</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Estate Ventures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172,665,995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1,036,712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2,190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1,041,717</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($0.15 per unit)</w:t>
            </w:r>
          </w:p>
        </w:tc>
        <w:tc>
          <w:tcPr>
            <w:tcW w:w="11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0" w:type="dxa"/>
            <w:vAlign w:val="bottom"/>
          </w:tcPr>
          <w:p>
            <w:pPr>
              <w:spacing w:after="0"/>
              <w:rPr>
                <w:sz w:val="1"/>
                <w:szCs w:val="1"/>
                <w:color w:val="auto"/>
              </w:rPr>
            </w:pPr>
          </w:p>
        </w:tc>
      </w:tr>
      <w:tr>
        <w:trPr>
          <w:trHeight w:val="163"/>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173,050,963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994,626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997,079</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44,353</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discount/(premium),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 compensation costs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Straight-line rent income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above (below) market leases, net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Ground rent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impairment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unconsolidated real estate ventures, including income distributions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gains and rent</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tenant improvements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redevelopments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developments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Advances for the purchase of tenant assets, net of repayments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distributions from unconsolidated real estate ventures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Leasing costs paid</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(44,628)</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unsecured term loan</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construction loan</w:t>
            </w: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financing costs paid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for employee taxes upon vesting of share awards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and retirement of common units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Distributions paid to preferred and common partnership units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(26,252)</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(26,391)</w:t>
            </w:r>
          </w:p>
        </w:tc>
        <w:tc>
          <w:tcPr>
            <w:tcW w:w="0" w:type="dxa"/>
            <w:vAlign w:val="bottom"/>
          </w:tcPr>
          <w:p>
            <w:pPr>
              <w:spacing w:after="0"/>
              <w:rPr>
                <w:sz w:val="1"/>
                <w:szCs w:val="1"/>
                <w:color w:val="auto"/>
              </w:rPr>
            </w:pPr>
          </w:p>
        </w:tc>
      </w:tr>
      <w:tr>
        <w:trPr>
          <w:trHeight w:val="20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and restricted cash</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31,473</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Cash paid for interest, net of capitalized interest during the three months ended March 31, 2026 and 2025 of $918 and</w:t>
            </w:r>
          </w:p>
        </w:tc>
        <w:tc>
          <w:tcPr>
            <w:tcW w:w="1000" w:type="dxa"/>
            <w:vAlign w:val="bottom"/>
            <w:vMerge w:val="restart"/>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29,541</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$3,166, respectively</w:t>
            </w:r>
          </w:p>
        </w:tc>
        <w:tc>
          <w:tcPr>
            <w:tcW w:w="10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declared but not paid</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accounts payable at period end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0" w:type="dxa"/>
            <w:vAlign w:val="bottom"/>
          </w:tcPr>
          <w:p>
            <w:pPr>
              <w:spacing w:after="0"/>
              <w:rPr>
                <w:sz w:val="1"/>
                <w:szCs w:val="1"/>
                <w:color w:val="auto"/>
              </w:rPr>
            </w:pP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retention payable at period end</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ORGANIZATION OF THE PARENT COMPANY AND THE OPERATING PARTNERSHIP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Brandywine Realty Trust (the “Parent Company”) is a self-administered and self-managed real estate investment trust (“REIT”) engaged in the acquisition, development, redevelopment, ownership, management, and operation of a portfolio of office and mixed-use properties. The Parent Company owns its assets and conducts its operations through Brandywine Operating Partnership, L.P. (the “Operating Partnership”) and subsidiaries of the Operating Partnership. The Parent Company is the sole general partner of the Operating Partnership and, as of March 31, 2026, owned a 99.7% interest in the Operating Partnership. The Parent Company’s common shares of beneficial interest (“common shares”) are publicly traded on the New York Stock Exchange under the ticker symbol “BDN.” The Parent Company, the Operating Partnership, and their consolidated subsidiaries are collectively referred to as the “Company.”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owned and consolidated 64 properties that contained an aggregate of approximately 12.3 million net rentable square feet (collectively, the “Properties”). The Company’s core portfolio of operating properties (the “Core Properties”) excludes Properties under development or redevelopment, recently completed - not stabilized Properties, and Properties held for sale. The Properties were comprised of the following as of March 31,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Number of 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Rentable Square Feet</w:t>
            </w: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Properties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10,258,646</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Mixed-use Properties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1,133,450</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Core Properties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11,392,096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Development/redevelopment 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721,035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Recently completed - not stabilized Properties (a)</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168,294</w:t>
            </w:r>
          </w:p>
        </w:tc>
      </w:tr>
      <w:tr>
        <w:trPr>
          <w:trHeight w:val="19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Properties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12,281,425</w:t>
            </w:r>
          </w:p>
        </w:tc>
      </w:tr>
      <w:tr>
        <w:trPr>
          <w:trHeight w:val="20"/>
        </w:trPr>
        <w:tc>
          <w:tcPr>
            <w:tcW w:w="8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both"/>
        <w:ind w:left="660" w:hanging="652"/>
        <w:spacing w:after="0" w:line="261" w:lineRule="auto"/>
        <w:tabs>
          <w:tab w:leader="none" w:pos="6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reclassifies a Property from “development/redevelopment Property” to “recently completed – not stabilized Property” after the date that the development or redevelopment of the Property is placed in service and prior to the time that the Property reaches at least 90% occupancy. When the Property reaches at least 90% occupancy, the Property is considered stabilized and, at that time, the Company reclassifies the Property as a “Core Property.”</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Properties, as of March 31, 2026, the Company owned 106.5 acres of land held for development. The Company also held a leasehold interest in a 0.8 acre land parcel, acquired through a prepaid 99-year ground lease, and held options to purchase approximately 5.1 additional acres of undeveloped land. As of March 31, 2026, the total potential development that this inventory of land could support under current zoning and entitlements, including the parcels under option, amounted to an estimated 11.6 million net rentable square feet.</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also owned economic interests in seven unconsolidated real estate ventures (see Note 4, “Investment in Unconsolidated Real Estate Ventures,” for further information). The Properties and the properties owned by the unconsolidated real estate ventures are primarily located in or near Philadelphia, Pennsylvania; Austin, Texas; Washington, D.C.; Southern New Jersey; and Wilmington, Delaware.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conducts its third-party real estate management services business primarily through wholly-owned management company subsidiaries. As of March 31, 2026, the management company subsidiaries were managing properties containing an aggregate of approximately 19.7 million net rentable square feet, of which approximately 12.5 million net rentable square feet related to Properties owned by the Company and approximately 7.2 million net rentable square feet related to properties owned by the unconsolidated real estate ventures.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references in this Form 10-Q to square feet and net rentable square feet represent net rentable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BASIS OF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by the Company pursuant to the rules and regulations of the U.S. Securities and Exchange Commission (“SEC”) for interim financial statements. Certain information and footnote disclosures normally included in the annual financial statements prepared in accordance with accounting principles generally accepted in the United States of America (“GAAP”) have been condensed or omitted pursuant to such rules and regulations. In the opinion of management, all adjustments consist solely of normal recurring matters, and result in a fair statement of the financial position of the Company as of March 31, 2026, the results of its operations for the three months ended March 31, 2026 and 2025 and its cash flows for the three months ended March 31, 2026 and 2025. The results of operations for such interim periods are not necessarily indicative of the results for a full year. These consolidated financial statements should be read in conjunction with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Parent Company’s and the Operating Partnership’s consolidated financial statements and footnotes included in their combined Annual Report on Form 10-K for the year ended December 31, 2025 filed with the SEC on February 23,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balance sheet at December 31, 2025 has been derived from the audited financial statements as of that date but does not include all the information and footnotes required by GAAP for complete financial statements. The Company’s Annual Report on Form 10-K for the year ended December 31, 2025 contains a discussion of the Company’s significant accounting policies under Note 2, “Summary of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have been no material changes in the Company’s significant accounting policies since December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estimates and assumptions include, but are not limited to, the amount and timing of development/redevelopment costs and of Company obligations for such costs, including costs incurred through unconsolidated real estate ventures. The estimates and assumptions for development/redevelopment cost are highly judgmental, cover significant future time horizons and are sensitive to cost escalations, sales price escalations and timing and pricing of leasing activity, all of which may be affected by expectations about future market or economic conditions. Actual results could differ from these and other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REAL ESTATE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gross carrying value of the Properties, reflected in the line item “Operating properties” in the Company's consolidated balance sheets, was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7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7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properties</w:t>
            </w:r>
          </w:p>
        </w:tc>
        <w:tc>
          <w:tcPr>
            <w:tcW w:w="27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3,724,851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 real estate investments</w:t>
            </w:r>
          </w:p>
        </w:tc>
        <w:tc>
          <w:tcPr>
            <w:tcW w:w="27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3,740,234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7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Held-for-use Impairment</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quarter ended March 31, 2026, the Company recognized impairment losses totaling $9.4 million on two office properties and a parking lot located in the Other segment. The estimated fair value is considered Level 3 in accordance with ASC 820 and was based upon a purchase and sale agreement as of March 31, 2026. The disposition contemplated by the purchase and sale agreement has not been consummated, and there can be no assurance that the Company will complete the disposition.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Held-for-sale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was under an agreement to sell an office building located in the Pennsylvania Suburbs segment to an unaffiliated third party for $15.5 million and has classified the property as held-for-sale on the consolidated balance sheet. As of March 31, 2026, the carrying value of the property was in excess of the estimated fair value less cost to sell. As a result, an impairment loss of $2.5 million was recognized. The estimated fair value is considered Level 3 in accordance with ASC 820 and was based upon the executed agreement of sale as of March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property classified as held for sale as of March 31, 2026 (in thousands):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9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Held for Sale Property</w:t>
            </w:r>
          </w:p>
        </w:tc>
      </w:tr>
      <w:tr>
        <w:trPr>
          <w:trHeight w:val="223"/>
        </w:trPr>
        <w:tc>
          <w:tcPr>
            <w:tcW w:w="9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9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properties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30"/>
        </w:trPr>
        <w:tc>
          <w:tcPr>
            <w:tcW w:w="9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23"/>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real estate investments, net</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r>
      <w:tr>
        <w:trPr>
          <w:trHeight w:val="230"/>
        </w:trPr>
        <w:tc>
          <w:tcPr>
            <w:tcW w:w="9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Construction-in-progress</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real estate investments, net</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net</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 Receivable</w:t>
            </w: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held for sale,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INVESTMENT IN UNCONSOLIDATED REAL ESTATE VENTURES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held ownership interests in seven unconsolidated real estate ventures, with a net aggregate investment balance of $321.5 million. As of March 31, 2026, four of the real estate ventures owned properties (directly or through leasehold interests) that contained an aggregate of approximately 4.1 million net rentable square feet of office space; one of the real estate ventures directly owned one property with 341 rentable residential units; and two of the real estate ventures owned 1.4 acres of land held for development.</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accounts for its interests in the unconsolidated real estate ventures, which ownership interests range, as of March 31, 2026, from 20% to 85%, using the equity method of accounting. Certain of the unconsolidated real estate ventures are subject to specified priority allocations of distributable cash, including cash from operations and cash from capital events, such as sales of properties.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management fees from the unconsolidated real estate ventures of $0.8 million and $1.0 million for the three months ended March 31, 2026 and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leasing commissions from the unconsolidated real estate ventures of $1.1 million and $1.5 million for the three months ended March 31, 2026 and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outstanding accounts receivable balances from the unconsolidated real estate ventures of $0.8 million and $0.5 million as of March 31, 2026 and December 31,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reflected in the following tables (except for the Company’s share of equity in income) are based on the financial information of the individual unconsolidated real estate ventures.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financial position of the unconsolidated real estate ventures in which the Company held interests as of March 31, 2026 and December 31, 2025 (in thousands):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w:t>
            </w:r>
          </w:p>
        </w:tc>
        <w:tc>
          <w:tcPr>
            <w:tcW w:w="204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1,159,647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1,164,117</w:t>
            </w:r>
          </w:p>
        </w:tc>
      </w:tr>
      <w:tr>
        <w:trPr>
          <w:trHeight w:val="229"/>
        </w:trPr>
        <w:tc>
          <w:tcPr>
            <w:tcW w:w="2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183,281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179,663</w:t>
            </w:r>
          </w:p>
        </w:tc>
      </w:tr>
      <w:tr>
        <w:trPr>
          <w:trHeight w:val="230"/>
        </w:trPr>
        <w:tc>
          <w:tcPr>
            <w:tcW w:w="2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w:t>
            </w:r>
          </w:p>
        </w:tc>
      </w:tr>
      <w:tr>
        <w:trPr>
          <w:trHeight w:val="229"/>
        </w:trPr>
        <w:tc>
          <w:tcPr>
            <w:tcW w:w="2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582,324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583,062</w:t>
            </w:r>
          </w:p>
        </w:tc>
      </w:tr>
      <w:tr>
        <w:trPr>
          <w:trHeight w:val="229"/>
        </w:trPr>
        <w:tc>
          <w:tcPr>
            <w:tcW w:w="2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t>
            </w:r>
          </w:p>
        </w:tc>
        <w:tc>
          <w:tcPr>
            <w:tcW w:w="20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675,194</w:t>
            </w:r>
          </w:p>
        </w:tc>
      </w:tr>
    </w:tbl>
    <w:p>
      <w:pPr>
        <w:spacing w:after="0" w:line="193" w:lineRule="exact"/>
        <w:rPr>
          <w:sz w:val="20"/>
          <w:szCs w:val="20"/>
          <w:color w:val="auto"/>
        </w:rPr>
      </w:pPr>
    </w:p>
    <w:p>
      <w:pPr>
        <w:jc w:val="both"/>
        <w:ind w:left="660" w:hanging="652"/>
        <w:spacing w:after="0" w:line="268" w:lineRule="auto"/>
        <w:tabs>
          <w:tab w:leader="none" w:pos="6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does not include the effect of the basis difference between the Company’s historical cost basis and the basis recorded at the real estate venture level, which is typically amortized over the life of the related assets and liabilities. Basis differentials occur from the impairment of investments, purchases of third-party interests in existing real estate ventures and upon the transfer of assets that were previously owned by the Company into a real estate venture. In addition, certain acquisition, transaction and other costs may not be reflected in the net assets at the real estate venture level.</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results of operations of the unconsolidated real estate ventures in which the Company held interests during the three-month periods ended March 31, 2026 and 2025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42,551</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(17,267)</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property disposition</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(6,286)</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share of 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Basis adjustments and other</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 of unconsolidated real estate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Uptown Ventures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2026, both One Uptown Ventures entered into extension options for their loans with the existing lender. The maturity of the One Uptown - Multi-family loan was extended until July 29, 2027, and the total loan capacity was reduced from $85.0 million to $76.5 million. The maturity of the One Uptown Office loan was extended until July 29, 2028, and the total loan capacity was reduced from $121.7 million to $108.9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allocation of lease revenue between fixed contractual payments and variable lease payments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8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contractual payments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INTANGIBLE ASSETS AND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Company’s intangible assets/liabilities were comprised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4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net</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4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1"/>
                <w:szCs w:val="21"/>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Liabilities, net</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20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3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net</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3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Liabilities, net</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annual amortization for its intangible assets/liabilities, assuming no early lease terminations, was as follows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Liabilities</w:t>
            </w:r>
          </w:p>
        </w:tc>
      </w:tr>
      <w:tr>
        <w:trPr>
          <w:trHeight w:val="243"/>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DEBT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consolidated debt obligations outstanding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Effective</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Maturity</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Rate</w:t>
            </w: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Date</w:t>
            </w:r>
          </w:p>
        </w:tc>
      </w:tr>
      <w:tr>
        <w:trPr>
          <w:trHeight w:val="142"/>
        </w:trPr>
        <w:tc>
          <w:tcPr>
            <w:tcW w:w="20" w:type="dxa"/>
            <w:vAlign w:val="bottom"/>
          </w:tcPr>
          <w:p>
            <w:pPr>
              <w:spacing w:after="0"/>
              <w:rPr>
                <w:sz w:val="12"/>
                <w:szCs w:val="12"/>
                <w:color w:val="auto"/>
              </w:rPr>
            </w:pPr>
          </w:p>
        </w:tc>
        <w:tc>
          <w:tcPr>
            <w:tcW w:w="4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SECURED DEBT:</w:t>
            </w: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3025 JFK Construction Loan</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178,014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+ 3.60%</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2026</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3151 Market C-PACE Loan (a)</w:t>
            </w: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57,324</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7.31%</w:t>
            </w: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2054</w:t>
            </w:r>
          </w:p>
        </w:tc>
      </w:tr>
      <w:tr>
        <w:trPr>
          <w:trHeight w:val="37"/>
        </w:trPr>
        <w:tc>
          <w:tcPr>
            <w:tcW w:w="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235,338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235,338</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Secured indebtedness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234,091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$600.0M Unsecured Credit Facility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+ 1.50%</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2027</w:t>
            </w:r>
          </w:p>
        </w:tc>
      </w:tr>
      <w:tr>
        <w:trPr>
          <w:trHeight w:val="23"/>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 Swapped to fixed</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+ 1.70%</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2027</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$450.0M 3.95% Guaranteed Notes due 2027</w:t>
            </w: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4.03%</w:t>
            </w: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2027</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$350.0M 8.30% Guaranteed Notes due 2028</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8.48%</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2028</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$350.0M 4.55% Guaranteed Notes due 2029</w:t>
            </w: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4.30%</w:t>
            </w: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2029</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$550.0M 8.88% Guaranteed Notes due 2029</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8.52%</w:t>
            </w: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2029</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$300.0M 6.13% Guaranteed Notes due 2031</w:t>
            </w: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6.13%</w:t>
            </w: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2031</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Indenture IA (Preferred Trust I)</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2035</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Indenture IB (Preferred Trust I)</w:t>
            </w:r>
          </w:p>
        </w:tc>
        <w:tc>
          <w:tcPr>
            <w:tcW w:w="20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2035</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Indenture II (Preferred Trust II)</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2035</w:t>
            </w:r>
          </w:p>
        </w:tc>
      </w:tr>
      <w:tr>
        <w:trPr>
          <w:trHeight w:val="186"/>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2,393,610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2,328,610</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original issue premium (discount), net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unsecured indebtedness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2,388,147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2,322,783</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Debt Obligations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2,622,238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2,556,862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r>
    </w:tbl>
    <w:p>
      <w:pPr>
        <w:spacing w:after="0" w:line="315" w:lineRule="exact"/>
        <w:rPr>
          <w:sz w:val="20"/>
          <w:szCs w:val="20"/>
          <w:color w:val="auto"/>
        </w:rPr>
      </w:pPr>
    </w:p>
    <w:p>
      <w:pPr>
        <w:jc w:val="both"/>
        <w:ind w:left="660" w:hanging="652"/>
        <w:spacing w:after="0" w:line="261" w:lineRule="auto"/>
        <w:tabs>
          <w:tab w:leader="none" w:pos="6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2025, we closed on a $50.5 million Commercial Property Assessed Clean Energy ("C-PACE") financing for the development project at 3151 Market Street, which includes $30.0 million in additional future funding for new leasing. The loan bears interest at 7.31%, has an initial maturity date of March 31, 2054 and includes $5.4 million of prepaid interest. The prepaid interest is included within other assets in the Consolidated Balance Sheet.</w:t>
      </w: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is capped at 6.60% through the maturity of the loan.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includes a 10 basis point daily SOFR adjustment.</w:t>
      </w:r>
    </w:p>
    <w:p>
      <w:pPr>
        <w:spacing w:after="0" w:line="14" w:lineRule="exact"/>
        <w:rPr>
          <w:rFonts w:ascii="Times New Roman" w:cs="Times New Roman" w:eastAsia="Times New Roman" w:hAnsi="Times New Roman"/>
          <w:sz w:val="14"/>
          <w:szCs w:val="14"/>
          <w:color w:val="auto"/>
        </w:rPr>
      </w:pPr>
    </w:p>
    <w:p>
      <w:pPr>
        <w:ind w:left="660" w:hanging="652"/>
        <w:spacing w:after="0" w:line="25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$250.0 million unsecured term loan was swapped to a fixed rate. At March 31, 2026, the fixed rate for this instrument was 5.41% and matures on June 30, 2027. The effective date of the swap was January 31, 2023.</w:t>
      </w:r>
    </w:p>
    <w:p>
      <w:pPr>
        <w:jc w:val="both"/>
        <w:ind w:left="660" w:hanging="652"/>
        <w:spacing w:after="0" w:line="262" w:lineRule="auto"/>
        <w:tabs>
          <w:tab w:leader="none" w:pos="6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Moody’s downgraded the Company's senior unsecured credit rating from Baa3 to Ba1. As a result of the downgrade, the interest rate on the Company's 7.55% Guaranteed Notes due 2028 (the "2028 Notes") increased 25 basis points in September 2023 due to the coupon adjustment provisions within the 2028 Notes. During the first quarter of 2024, S&amp;P downgraded the Company's senior unsecured credit rating from BBB- to BB+. As a result of the downgrade, the interest rate on the 2028 Notes increased 25 basis points to 8.05% in March 2024 due to the coupon adjustment provisions within the 2028 Notes. During the second quarter of 2024, Moody's downgraded the Company's senior unsecured credit rating from Ba1 to Ba2. As a result of the downgrade, the interest rate on the 2028 Notes increased 25 basis points to 8.30% in April 2024 due to the coupon adjustment provisions within the 2028 Notes. During the first quarter of 2026, S&amp;P downgraded the Company's senior unsecured credit rating from BB+ to BB-. As a result of the downgrade, the interest rate on the 2028 Notes increased 50 basis points to 8.80%, effective September 2026, due to the coupon adjustment provisions within the 2028 Notes.</w:t>
      </w:r>
    </w:p>
    <w:p>
      <w:pPr>
        <w:spacing w:after="0" w:line="160" w:lineRule="exact"/>
        <w:rPr>
          <w:rFonts w:ascii="Times New Roman" w:cs="Times New Roman" w:eastAsia="Times New Roman" w:hAnsi="Times New Roman"/>
          <w:sz w:val="14"/>
          <w:szCs w:val="14"/>
          <w:color w:val="auto"/>
        </w:rPr>
      </w:pPr>
    </w:p>
    <w:p>
      <w:pPr>
        <w:ind w:left="660" w:hanging="652"/>
        <w:spacing w:after="0" w:line="263" w:lineRule="auto"/>
        <w:tabs>
          <w:tab w:leader="none" w:pos="65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Indenture IA was swapped to a fixed rate at 5.14% for the period from March 30, 2024 to December 30, 2026 and Trust Preferred I Indenture IB and Trust Preferred II Indenture II were swapped to a fixed rate at 5.24% for the period from January 30, 2024 to January 30, 2027.</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borrowings under its unsecured credit facility (the “Unsecured Credit Facility”) for general business purposes, including to fund costs of acquisitions, developments and redevelopments of properties, and to fund share repurchases and repay other debt. The Unsecured Credit Facility provides for borrowings of up to $600.0 million and the per annum variable interest rate on borrowings is SOFR plus 1.40% plus a spread adjustment of 0.10%. The interest rate and facility fee are subject to adjustment upon a change in the Company’s unsecured debt ratings. During the three months ended March 31, 2026, the weighted-average interest rate on Unsecured Credit Facility borrowings was 5.15%, resulting in $0.4 million of interest expense for such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Information on Unsecured and Secured Consolidated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Parent Company unconditionally guarantees the unsecured debt obligations of the Operating Partnership (or is a co-borrower with the Operating Partnership) but does not by itself incur unsecured indebtedness. The Parent Company has no material assets other than its investment in the Operating Partnership.</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26, 2025, the Company and the Operating Partnership amended its Unsecured Credit Facility to, among other things, amend the restricted payments covenant to permit the Operating Partnership to pay dividends and make distributions attributable to any period of four consecutive fiscal quarters that ends (i) on any date that occurs after June 30, 2025 and on or prior to March 31, 2026, in an amount not to exceed, in the aggregate, the greater of (a) 100% of FFO attributable to such period or (b) the minimum amount necessary for the Company to maintain its REIT status and (ii) on April 1, 2026 or any date that occurs thereafter, in amount not to exceed, in the aggregate, the greater of (a) 95% of FFO attributable to such period or (ii) the minimum amount necessary for the Company to maintain its REIT status.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as of March 31, 2026. Certain of the covenants restrict the Company’s ability to obtain alternative sources of capital.</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aggregate scheduled principal payments on the Company’s consolidated debt obligations (secured and unsecured)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178,014</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435,934</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2,628,948</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unamortized premiums/(discounts)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indebtedness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2,622,238</w:t>
            </w:r>
          </w:p>
        </w:tc>
      </w:tr>
      <w:tr>
        <w:trPr>
          <w:trHeight w:val="20"/>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FAIR VALUE OF FINANCIAL INSTRUMENTS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Company's consolidated balance sheets are categorized based on the inputs to the valuation techniques as follows:</w:t>
      </w:r>
    </w:p>
    <w:p>
      <w:pPr>
        <w:spacing w:after="0" w:line="54"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in Level 1, which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and</w:t>
      </w:r>
    </w:p>
    <w:p>
      <w:pPr>
        <w:spacing w:after="0" w:line="7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which is typically based on an entity’s own assumptions, as there is little, if any, related market activity or information.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values disclosed below using available market information and discounted cash flow analyses as of March 31, 2026 and December 31, 2025, respectively. The discount rate used in calculating fair value is the sum of the current risk free rate and the risk premium on the date of measurement of the instruments or obligations. Considerable judgment is necessary to interpret market data and to develop the related estimates of fair value. Accordingly, the estimates presented are not necessarily indicative of the amounts that the Company could realize upon disposition. The use of different estimates and valuation methodologies may have a material effect on the fair value amounts shown. The Company believes that the carrying amounts reflected in the consolidated balance sheets at March 31, 2026 and December 31, 2025 approximate the fair values for cash and cash equivalents, accounts receivable, other assets and liabilities, accounts payable and accrued expenses because they are short-term in duration. The following are financial instruments for which the Company’s estimates of fair value differ from the carrying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March 31, 2026</w:t>
            </w:r>
          </w:p>
        </w:tc>
        <w:tc>
          <w:tcPr>
            <w:tcW w:w="460" w:type="dxa"/>
            <w:vAlign w:val="bottom"/>
          </w:tcPr>
          <w:p>
            <w:pPr>
              <w:spacing w:after="0"/>
              <w:rPr>
                <w:sz w:val="24"/>
                <w:szCs w:val="24"/>
                <w:color w:val="auto"/>
              </w:rPr>
            </w:pPr>
          </w:p>
        </w:tc>
        <w:tc>
          <w:tcPr>
            <w:tcW w:w="29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12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Carrying Amount (a)</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19"/>
                <w:szCs w:val="19"/>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Carrying Amount (a)</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1,995,046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1,994,784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2,027,570</w:t>
            </w: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571,116</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506,014</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501,541</w:t>
            </w: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56,076</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56,066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58,935</w:t>
            </w:r>
          </w:p>
        </w:tc>
      </w:tr>
    </w:tbl>
    <w:p>
      <w:pPr>
        <w:spacing w:after="0" w:line="166" w:lineRule="exact"/>
        <w:rPr>
          <w:sz w:val="20"/>
          <w:szCs w:val="20"/>
          <w:color w:val="auto"/>
        </w:rPr>
      </w:pPr>
    </w:p>
    <w:p>
      <w:pPr>
        <w:ind w:left="660" w:right="20" w:hanging="652"/>
        <w:spacing w:after="0" w:line="302" w:lineRule="auto"/>
        <w:tabs>
          <w:tab w:leader="none" w:pos="6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of $12.2 million and $13.0 million for unsecured notes payable, $0.5 million and $0.6 million for variable rate debt and $1.2 million and $1.3 million for secured fixed rate debt as of March 31, 2026 and December 31, 2025.</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quoted market prices as of March 31, 2026 and December 31, 2025 to value the unsecured notes payable and, as such, categorized them as Level 2.</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inputs utilized to determine the fair value of the Company’s variable rate and fixed rate debt are categorized as Level 3. The fair value of the variable rate and fixed rate debt was determined using a discounted cash flow model that considered borrowing rates available to the Company for loans with similar terms and characteristics.</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Level 3 financial instruments for which fair value is disclosed, an increase in the discount rate used to determine fair value would result in a decrease to the fair value. Conversely, a decrease in the discount rate would result in an increase to the fair value.</w:t>
      </w:r>
    </w:p>
    <w:p>
      <w:pPr>
        <w:spacing w:after="0" w:line="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Disclosure about the fair value of financial instruments is based upon pertinent information available to management as of March 31, 2026 and December 31, 2025. Although management is not aware of any factors that would significantly affect the fair value amounts, such amounts were not comprehensively revalued for purposes of these financial statements since March 31, 2026. Current estimates of fair value may differ from the amounts presented herein.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DERIVATIVE FINANCIAL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terms and fair values of the Company’s derivative financial instruments as of March 31, 2026 and December 31, 2025. The notional amounts provide an indication of the extent of the Company’s involvement in these instruments at that time, but do not represent exposure to credit, interest rate or market risks (dollar amounts presented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Hedge Product</w:t>
            </w: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Hedge Type</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Designation</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Notional Amount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Strike</w:t>
            </w:r>
          </w:p>
        </w:tc>
        <w:tc>
          <w:tcPr>
            <w:tcW w:w="15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Trade Date</w:t>
            </w:r>
          </w:p>
        </w:tc>
        <w:tc>
          <w:tcPr>
            <w:tcW w:w="1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Maturity Date</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4"/>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Fair value</w:t>
            </w:r>
          </w:p>
        </w:tc>
      </w:tr>
      <w:tr>
        <w:trPr>
          <w:trHeight w:val="186"/>
        </w:trPr>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12/31/2025</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3/31/2026</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12/31/2025</w:t>
            </w:r>
          </w:p>
        </w:tc>
      </w:tr>
      <w:tr>
        <w:trPr>
          <w:trHeight w:val="37"/>
        </w:trPr>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0"/>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December 30, 2026</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0"/>
        </w:trPr>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5"/>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w:t>
            </w: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4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July 22, 2025</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July 22, 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w:t>
            </w:r>
          </w:p>
        </w:tc>
      </w:tr>
      <w:tr>
        <w:trPr>
          <w:trHeight w:val="19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80"/>
        </w:trPr>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5"/>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November 23, 2022</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30, 2027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2"/>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December 30, 2026</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
        </w:trPr>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0"/>
        </w:trPr>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5"/>
        </w:trPr>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3.725 %</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January 30, 2027</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86"/>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506,624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506,624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unsecured variable rate debt.</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its derivative instruments at fair value and records them in “Other assets” and “Other liabilities” on the Company’s consolidated balance sheets.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the inputs utilized to determine the fair value of derivative instruments are classified in Level 2 of the fair value hierarchy.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10. LIMITED PARTNERS’ NONCONTROLLING INTERESTS IN THE PARENT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in the Parent Company’s financial statements relate to redeemable common limited partnership interests in the Operating Partnership held by parties other than the Parent Company and properties which are consolidated but not wholly-owned by the Operating Partnership.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Partnership</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book value of the noncontrolling interests associated with the redeemable common limited partnership units in the accompanying consolidated balance sheet of the Parent Company was $2.2 million and $2.4 million as of March 31, 2026 and December 31, 2025, respectively. Under the applicable accounting guidance, the redemption value of the redeemable common limited partnership units is carried at fair value. The Parent Company believes that the aggregate settlement value of these units (based on the number of units outstanding and the average closing price of the common shares during the last five business days of the quarter ended March 31, 2026) was approximately $1.3 million and $1.5 million as of March 31, 2026 and December 31,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BENEFICIARIES’ EQUITY OF THE PARENT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Share (EPS)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shares and net income used to calculate basic and diluted earnings per share (in thousands, except share and per share amounts; results may not add due to rounding):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0" w:type="dxa"/>
            <w:vAlign w:val="bottom"/>
          </w:tcPr>
          <w:p>
            <w:pPr>
              <w:spacing w:after="0"/>
              <w:rPr>
                <w:sz w:val="1"/>
                <w:szCs w:val="1"/>
                <w:color w:val="auto"/>
              </w:rPr>
            </w:pPr>
          </w:p>
        </w:tc>
      </w:tr>
      <w:tr>
        <w:trPr>
          <w:trHeight w:val="19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shareholders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173,756,736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173,756,736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172,915,482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172,915,482</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173,756,736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173,756,736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172,915,482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172,915,482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securities/share-based compensation impact is calculated using the treasury stock method and relates to employee awards settled in shares of the Parent Company. The effect of these securities is anti-dilutive for periods that the Parent Company incurs a net loss from continuing operations available to common shareholders and therefore is excluded from the dilutive earnings per share calculation in such periods.</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Redeemable common limited partnership units totaling 515,595 at March 31, 2026 and March 31, 2025 were excluded from the diluted earnings per share computations because they are not dilutive.</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shares are considered participating securities which require the use of the two-class method for the computation of basic and diluted earnings per share. For the three months ended March 31, 2026 and 2025, earnings representing nonforfeitable dividends as noted in the table above were allocated to the unvested restricted shares issued to the Company’s executives and other employees under the Company’s shareholder-approved long-term equity incentive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Shares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18, 2026, the Parent Company declared a distribution of $0.08 per common share, totaling $14.3 million, which was paid on April 16, 2026 to shareholders of record as of April 2, 2026.</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Parent Company maintains a common share repurchase program under which the Board of Trustees has authorized the Parent Company to repurchase its common shares. On January 3, 2019, the Board of Trustees authorized the repurchase of up to $150.0 million of the Company's common shares from and after January 3, 2019. During the three months ended March 31, 2026, the Company repurchased and retired 700,000 common shares at an average price of $3.10 per share, totaling $2.2 million. During the three months ended March 31, 2025, the Company did not repurchase any common shares under the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PARTNERS’ EQUITY OF THE PARENT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Partnership Unit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units and net income used to calculate basic and diluted earnings per common partnership unit (in thousands, except unit and per unit amounts; results may not add due to rounding):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2026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Borders>
              <w:bottom w:val="single" w:sz="8" w:color="auto"/>
            </w:tcBorders>
          </w:tcPr>
          <w:p>
            <w:pPr>
              <w:spacing w:after="0"/>
              <w:rPr>
                <w:sz w:val="18"/>
                <w:szCs w:val="18"/>
                <w:color w:val="auto"/>
              </w:rPr>
            </w:pPr>
          </w:p>
        </w:tc>
      </w:t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Diluted</w:t>
            </w:r>
          </w:p>
        </w:tc>
      </w:tr>
      <w:tr>
        <w:trPr>
          <w:trHeight w:val="19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unitholders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weighted-average units outstanding</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174,272,331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174,272,331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173,431,077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173,431,077</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Common Partnership Unit: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units are considered participating securities which require the use of the two-class method for the computation of basic and diluted earnings per unit. For the three months ended March 31, 2026 and 2025, earnings representing nonforfeitable dividends were allocated to the unvested restricted units issued to the Parent Company’s executives and other employees under the Parent Company’s shareholder-approved long-term incentive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Partnership Units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18, 2026, the Operating Partnership declared a distribution of $0.08 per common partnership unit, totaling $14.3 million, which was paid on April 16, 2026 to unitholders of record as of April 2,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Parent Company’s common share repurchase program, one common unit of the Operating Partnership is retired for each common share repurchased. As discussed in Note 11 above, during the three months ended March 31, 2026, the Company repurchased 700,000 common shares at an average price of $3.10 per share, totaling $2.2 million, and the Operating Partnership retired 700,000 common units of the Operating Partnership. During the three months ended March 31, 2025, the Company did not repurchase any units under the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SHARE 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Share Unit Awards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3,666,100 restricted share rights and units (“Restricted Share Units”) were outstanding under the Company’s long term equity incentive plan. These Restricted Share Units vest over one to three years from the initial grant dates. The remaining compensation expense to be recognized with respect to these awards at March 31, 2026 was $3.3 million and is expected to be recognized over a weighted average remaining vesting period of 1.41. During the three months ended March 31, 2026 and 2025, the amortization related to outstanding Restricted Share Units was $3.9 million (of which $0.4 million was capitalized) and $4.1 million (of which $0.6 million was capitalized), respectively. Compensation expense related to outstanding Restricted Share Units is included in general and administrative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Share Units activity during the three months ended 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76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Grant Date Fair Value</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27, 2026, the Compensation Committee of the Parent Company’s Board of Trustees awarded to officers of the Company an aggregate of 1,429,312 Restricted Share Units, which vest over three years from the grant date. Each Restricted Share Unit entitles the holder to one common share upon settlement. The Parent Company pays dividend equivalents on the Restricted Share Units prior to the settlement date. Vesting and/or settlement would accelerate if the recipient of the award were to die, become disabled or, in the case of certain of such Restricted Share Units, retire in a qualifying retirement prior to the vesting or settlement date. Qualifying retirement generally means the recipient’s voluntary termination of employment after reaching at least age 57 and accumulating at least 15 years of service with the Company. In addition, vesting would also accelerate if the Parent Company were to undergo a change of control and, on or before the first anniversary of the change of control, the recipient’s employment were to cease due to a termination without cause or resignation with good reason.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Restricted Share Units granted in 2026, 2025, 2024, and 2023 to certain senior executives include an “outperformance feature” whereby additional shares may be earned, up to 275% of the shares subject to the basic award, based on the Company’s achievement of specified financial and/or operating targets during a three-year performance period with an additional 366 days of service generally required to fully vest. In addition to the basic award, up to an aggregate of 3,153,418, 2,170,708, 2,669,293, and 925,642 shares may be awarded under the outperformance feature for the 2026, 2025, 2024, and 2023 awards, respectively, to those senior officers whose Restricted Share Units awards include the “outperformance feature.” As of March 31, 2026, the Company has not recognized any compensation expense related to the outperformance feature for the 2026 awards and has recognized $0.8 million, $7.0 million, and $4.5 million related to the outperformance feature for the 2025, 2024, and 2023 awards, respectively. The Company will continue to evaluate progression towards achievement of the performance metrics on a quarterly basis and recognize compensation expense for the outperformance feature of these awards should it be determined that achievement of these metrics is probable.</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on February 27, 2026, the Compensation Committee awarded non-officer employees an aggregate of 179,565 Restricted Share Units that generally vest in three equal annual installments. Vesting of these awards is subject to acceleration upon death, disability or termination without cause within one year following a change of control.</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accounting standard for share-based compensation, the Company amortizes share-based compensation costs through the qualifying retirement dates for those executives who meet the conditions for qualifying retirement during the scheduled vesting period and whose award agreements provide for vesting upon a qualifying retirement or qualifying retirement eligibility.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Performance Share Unit Awards</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Compensation Committee of the Parent Company’s Board of Trustees has granted performance share-based awards (referred to as Restricted Performance Share Units, or RPSUs) to officers of the Parent Company. The RPSUs are settled in common shares, with the number of common shares issuable in settlement varying between zero and 240%, with respect to the 2024, 2025 and 2026 awards, of the target amount based on the achievement of certain performance or market conditions. For the 2024, 2025 and 2026 awards, the number of common shares issuable is determined based on the Company’s achievement of certain operating metrics during three one-year performance periods, subject to further adjustment based on Relative TSR for the three-year term of the award. The table below presents certain information as to unvested RPSU awards.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color w:val="auto"/>
              </w:rPr>
              <w:t>RPSU Awarded Date</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(Amounts below in shares, unless otherwise noted)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2/26/2024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2/28/2025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2/27/2026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1,113,881</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1,170,093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Cancelled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476,437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2,242,476</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Commencement Date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End Date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 Units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Units on Awarded Date (in thousands)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values each RPSU on its grant date using a Monte Carlo simulation. The fair values of each award are being amortized over the three-year performance period. If an award's service inception date precedes the grant date, we initially measure compensation expense for awards with performance conditions at fair value at the service inception date based on probability of payout, and we remeasure compensation expense at subsequent reporting dates until all of the award’s key terms and conditions are known and the grant date is established. We amortize awards with performance conditions using the graded expense method for retirement eligible employees.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For 2024, 2025 and 2026 awards, the Company awarded 1,251,803, 1,003,236 and 1,429,312 RPSUs of which 378,728, 314,928 and 476,437 are treated as granted in 2026, respectively. The determination and delivery of earned shares will be accelerated in the event of a change in control or the award</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recipient’s death before the end of the full three-year term of the award. If the award recipient’s service ceases due to his or her qualifying retirement or disability during the term of the award, the award will remain outstanding and be earned based on actual performance for the full term of the award, subject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pro-ration based on the portion of the term actually worked. Dividend equivalents will be credited as additional RPSUs during the term of the awards, subject to the same terms and conditions as the original RPSUs.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amortization of the 2026, 2025 and 2024 RPSU awards of $1.7 million, of which $0.2 million was capitalized consistent with the Company’s policies for capitalizing eligible portions of employee compensation. For the three months ended March 31, 2025, amortization for the 2025, 2024 and 2023 RPSU awards was $2.2 million, of which $0.0 million was capitalized consistent with the Company’s policies for capitalizing eligible portions of employee compensation.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compensation expense to be recognized with respect to the non-vested RPSUs at March 31, 2026 was approximately $4.5 million and is expected to be recognized over a weighted average remaining vesting period of 1.93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404,175 common shares on January 22, 2026 in settlement of RPSUs that had been awarded on February 16, 2023 (with a three-year measurement period ended December 31, 2025). Holders of these RPSUs also received a cash dividend of $0.08 per share for these common shares on January 22,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SEGMENT INFORMATION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the Company owned and managed properties within four segments: (1) Philadelphia Central Business District (“Philadelphia CBD”), (2) Pennsylvania Suburbs, (3) 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located in Washington, D.C., Northern Virginia, Southern Maryland, Camden County, New Jersey and New Castle County, Delaware. In addition to the four segments, the corporate group is responsible for cash and investment management, development/redevelopment of certain real estate properties during the construction period, and certain other general support functions. Land held for development and construction in progress is transferred to operating properties by region upon completion of the associated construction or project.</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segments are based on the Company’s method of internal reporting, which classifies the Company's operations by geographic area. The following tables provide selected asset information and results of operations of the Company’s reportable segments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investments, at cost: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2,087,963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2,080,220</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883,218</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510,030</w:t>
            </w: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Core Segments</w:t>
            </w: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3,461,999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3,473,468</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280,312</w:t>
            </w: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properties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3,724,851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3,753,780</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3,740,234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3,753,780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7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ground leases,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51,399</w:t>
            </w: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 - operating leases,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17,806</w:t>
            </w: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Construction-in-progress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118,543</w:t>
            </w: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held for development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70,405</w:t>
            </w:r>
          </w:p>
        </w:tc>
      </w:tr>
      <w:tr>
        <w:trPr>
          <w:trHeight w:val="21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leasehold interests in land held for development,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2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Operating</w:t>
            </w: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14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3"/>
                <w:szCs w:val="13"/>
                <w:color w:val="auto"/>
              </w:rPr>
            </w:pPr>
          </w:p>
        </w:tc>
        <w:tc>
          <w:tcPr>
            <w:tcW w:w="114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expenses (a)</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1"/>
                <w:szCs w:val="11"/>
                <w:color w:val="auto"/>
              </w:rPr>
            </w:pPr>
          </w:p>
        </w:tc>
        <w:tc>
          <w:tcPr>
            <w:tcW w:w="11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income</w:t>
            </w:r>
          </w:p>
        </w:tc>
        <w:tc>
          <w:tcPr>
            <w:tcW w:w="0" w:type="dxa"/>
            <w:vAlign w:val="bottom"/>
          </w:tcPr>
          <w:p>
            <w:pPr>
              <w:spacing w:after="0"/>
              <w:rPr>
                <w:sz w:val="1"/>
                <w:szCs w:val="1"/>
                <w:color w:val="auto"/>
              </w:rPr>
            </w:pPr>
          </w:p>
        </w:tc>
      </w:tr>
      <w:tr>
        <w:trPr>
          <w:trHeight w:val="84"/>
        </w:trPr>
        <w:tc>
          <w:tcPr>
            <w:tcW w:w="2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65,627</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(26,697)</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38,930</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55,388</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(20,631)</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34,757</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21,876</w:t>
            </w:r>
          </w:p>
        </w:tc>
        <w:tc>
          <w:tcPr>
            <w:tcW w:w="0" w:type="dxa"/>
            <w:vAlign w:val="bottom"/>
          </w:tcPr>
          <w:p>
            <w:pPr>
              <w:spacing w:after="0"/>
              <w:rPr>
                <w:sz w:val="1"/>
                <w:szCs w:val="1"/>
                <w:color w:val="auto"/>
              </w:rPr>
            </w:pPr>
          </w:p>
        </w:tc>
      </w:tr>
      <w:tr>
        <w:trPr>
          <w:trHeight w:val="21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0" w:type="dxa"/>
            <w:vAlign w:val="bottom"/>
          </w:tcPr>
          <w:p>
            <w:pPr>
              <w:spacing w:after="0"/>
              <w:rPr>
                <w:sz w:val="1"/>
                <w:szCs w:val="1"/>
                <w:color w:val="auto"/>
              </w:rPr>
            </w:pPr>
          </w:p>
        </w:tc>
      </w:tr>
      <w:tr>
        <w:trPr>
          <w:trHeight w:val="21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properties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127,004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74,985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121,516</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73,925</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operating expenses, real estate taxes and third-party management expense.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Unconsolidated real estate ventures: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color w:val="auto"/>
              </w:rPr>
              <w:t>Investment in real estate ventures</w:t>
            </w:r>
          </w:p>
        </w:tc>
        <w:tc>
          <w:tcPr>
            <w:tcW w:w="100" w:type="dxa"/>
            <w:vAlign w:val="bottom"/>
          </w:tcPr>
          <w:p>
            <w:pPr>
              <w:spacing w:after="0"/>
              <w:rPr>
                <w:sz w:val="19"/>
                <w:szCs w:val="19"/>
                <w:color w:val="auto"/>
              </w:rPr>
            </w:pPr>
          </w:p>
        </w:tc>
        <w:tc>
          <w:tcPr>
            <w:tcW w:w="30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Equity in income (loss) of real estate ventures</w:t>
            </w:r>
          </w:p>
        </w:tc>
      </w:tr>
      <w:tr>
        <w:trPr>
          <w:trHeight w:val="210"/>
        </w:trPr>
        <w:tc>
          <w:tcPr>
            <w:tcW w:w="5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6"/>
                <w:szCs w:val="16"/>
                <w:color w:val="auto"/>
                <w:w w:val="96"/>
              </w:rPr>
              <w:t>As of</w:t>
            </w: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color w:val="auto"/>
              </w:rPr>
              <w:t>Three Months Ended March 31,</w:t>
            </w:r>
          </w:p>
        </w:tc>
      </w:tr>
      <w:tr>
        <w:trPr>
          <w:trHeight w:val="209"/>
        </w:trPr>
        <w:tc>
          <w:tcPr>
            <w:tcW w:w="5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March 31, 2026</w:t>
            </w: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2025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217,195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Mid-Atlantic Office JV</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100" w:type="dxa"/>
            <w:vAlign w:val="bottom"/>
            <w:shd w:val="clear" w:color="auto" w:fill="CCEEFF"/>
          </w:tcPr>
          <w:p>
            <w:pPr>
              <w:spacing w:after="0"/>
              <w:rPr>
                <w:sz w:val="19"/>
                <w:szCs w:val="19"/>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8"/>
                <w:szCs w:val="18"/>
                <w:color w:val="auto"/>
              </w:rPr>
            </w:pPr>
          </w:p>
        </w:tc>
      </w:tr>
      <w:tr>
        <w:trPr>
          <w:trHeight w:val="23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operating income (“NOI”) is a non-GAAP financial measure, which we define as total property revenue less property operating expenses, real estate taxes and third-party management expenses. Property operating expenses that are included in 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presented by the Company may not be comparable to NOI reported by other companies that define NOI differently. NOI is the primary measure that is used by the Company’s management to evaluate the operating performance of the Company’s real estate assets by segment. The Company believes NOI provides useful information to investors regarding the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 GAAP and should not be considered as an alternative to those measures in evaluating our liquidity or operating performance. NOI does not reflect interest expenses, real estate impairment losses, depreciation and amortization costs, capital expenditures and leasing costs. The Company believes that net income (loss), as defined by GAAP, is the most appropriate earnings measure. The following is a reconciliation of consolidated net income (loss), as defined by GAAP, to consolidated NOI, (in thousands):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Three Months Ended March 31,</w:t>
            </w:r>
          </w:p>
        </w:tc>
      </w:tr>
      <w:tr>
        <w:trPr>
          <w:trHeight w:val="210"/>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31,845</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 amortization of deferred financing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loss of unconsolidated real estate ventures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impairment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on disposition of real estate</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real estate venture transactions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operating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74,985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73,925</w:t>
            </w:r>
          </w:p>
        </w:tc>
      </w:tr>
      <w:tr>
        <w:trPr>
          <w:trHeight w:val="23"/>
        </w:trPr>
        <w:tc>
          <w:tcPr>
            <w:tcW w:w="8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litigation on various matters, including disputes with tenants, disputes with vendors, employee disputes and disputes arising out of agreements to purchase or sell properties or joint ventures or disputes relating to state and local taxes. Given the nature of the Company’s business activities, these lawsuits are considered routine to the conduct of its business. The result of any particular lawsuit cannot be predicted, because of the very nature of litigation, the litigation process and its adversarial nature, and the jury system. The Company will establish reserves for specific legal proceedings when it determines that the likelihood of an unfavorable outcome is probable and when the amount of loss is reasonably estimable. The Company does not expect that the liabilities, if any, that may ultimately result from such legal actions will have a material adverse effect on the consolidated financial position, results of operations or cash flows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owner of real estate, the Company is subject to various environmental laws of federal, state, and local governments. The Company’s compliance with existing laws has not had a material adverse effect on its financial condition and results of operations, and the Company does not believe it will have a material adverse effect in the future. However, the Company cannot predict the impact of unforeseen environmental contingencies or new or changed laws or regulations on its current Properties or on properties that the Company may acquire.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Guarantees and Equity Funding Commitments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Company’s unconsolidated real estate ventures had aggregate indebtedness of $585.4 million. These loans are generally mortgage or construction loans, most of which are nonrecourse to the Company, except for customary recourse carve-outs. In addition, during construction undertaken by the unconsolidated real estate ventures, including the One Uptown Ventures, the Company has provided, and expects to continue to provide, cost overrun and completion guarantees, as well as customary environmental indemnities and guarantees of customary exceptions to nonrecourse provisions in loan agreements and in certain circumstance, joint venture agreements.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With respect to the One Uptown Ventures, the Company has provided completion guarantees and environmental indemnities in favor of its partner. In addition, the Company has provided completion guarantees, environmental indemnities and guarantees of exceptions to nonrecourse loan provisions in favor of the lenders for the One Uptown Ventures. Moreover, the Company has provided, in favor of the lenders, carry guarantees and limited payment guarantees up to 30% and 15% of the principal balance of the $121.7 million (office) and $85.0 million (multifamily) construction loans, respectively. The construction loans were originally scheduled to mature on July 29, 2026. On May 1, 2026, both One Uptown Ventures entered into extension options for their loans with the existing lender. The maturity of the One Uptown - Multi-family loan was extended until July 29, 2027 and the maturity of the One Uptown Office loan was extended until July 29, 2028. The One Uptown - Multi-family loan principal was reduced to $76.5 million resulting in a limited payment guaranty of 17% of the principle balance. The One Uptown Office loan principal was reduced to $108.9 million resulting in a limited payment guaranty of 34% of the principal balance.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pursuant to the leasehold mortgage loan to the New MAP Venture, to fund up to an additional $12.0 million for tenant and capital improvements pursuant to leases that the Company proposes, in its discretion, to enter into at the properties owned (through leasehold interests) by the New MAP Venture, which amounts, when funded, will accrue interest at 8.0% per annum. As of March 31, 2026, the Company has not funded any additional capital pursuant to the leasehold mortgage loan.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of Natural Disasters and Casualty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certain losses, including those relating to property damage. The Company records the estimated amount of expected insurance proceeds for property damage and other losses incurred as an asset (typically a receivable from the insurer) and income up to the amount of the losses incurred when receipt of insurance proceeds is deemed probable. Any amount of insurance recovery in excess of the amount of the losses is considered a gain contingency and is not recorded until the proceeds are received.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 or Contingencies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Schuylkill Yards Project, the Company entered into a neighborhood engagement program and, as of March 31, 2026, had $4.2 million of future fixed contractual obligations. The Company also committed to fund additional contributions under the program. As of March 31, 2026, the Company estimated that these additional contributions, which are not fixed under the terms of agreement, will be $2.0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committed to contribute $15.0 million to a venture capital fund that invests in early-stage life science companies. As of March 31, 2026, the Company had funded $5.9 million of the foregoing commitment.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invests in its properties and regularly incurs capital expenditures in the ordinary course of business to maintain the properties. The Company believes that such expenditures enhance its competitiveness. The Company also enters into construction, utility and service contracts in the ordinary course of business which may extend beyond one year. These contracts typically provide for cancellation with insignificant or no cancellation penalties.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Private Securities Litigation Reform Act of 1995 (the “1995 Act”) provides a “safe harbor” for forward-looking statements. This Form 10-Q and other materials filed by us with the SEC (as well as information included in oral or other written statements made by us) contain statements that are forward-looking, including statements relating to business and real estate development/redevelopment activities, acquisitions, dispositions, future capital expenditures, financing sources, governmental regulation (including environmental regulation) and competition. We intend such forward-looking statements to be covered by the safe-harbor provisions of the 1995 Act. The words “anticipate,” “believe,” “estimate,” “expect,” “intend,” “will,” “should” and similar expressions, as they relate to us, are intended to identify forward-looking statements. Although we believe that the expectations reflected in such forward-looking statements are based on reasonable assumptions, we can give no assurance that our expectations will be achieved. As forward-looking statements, these statements involve important risks, uncertainties and other factors that could cause actual results to differ materially from the expected results and, accordingly, such results may differ from those expressed in any forward-looking statements made by us or on our behalf. Factors that might cause actual results to differ materially from our expectations, including any impacts from the imposition of tariffs, changes to the U.S. trade policy and any impacts of the U.S. government shutdown, are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our Annual Report on Form 10-K for the year ended December 31, 2025. Accordingly, we caution readers not to place undue reliance on forward-looking statements. We assume no obligation to update or supplement forward-looking statements as a result of subsequent events, new information, changed circumstances or otherwise, except as required by law.</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that follows is based primarily on our consolidated financial statements as of March 31, 2026 and December 31, 2025 and for the three months ended March 31, 2026 and 2025 and should be read along with the consolidated financial statements and related notes appearing elsewhere in this report. The ability to compare one period to another may be significantly affected by acquisitions completed, development/redevelopment properties placed in service and dispositions made during those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owned and managed properties within four segments: (1) Philadelphia CBD, (2) Pennsylvania Suburbs,</w:t>
      </w:r>
    </w:p>
    <w:p>
      <w:pPr>
        <w:spacing w:after="0" w:line="27" w:lineRule="exact"/>
        <w:rPr>
          <w:sz w:val="20"/>
          <w:szCs w:val="20"/>
          <w:color w:val="auto"/>
        </w:rPr>
      </w:pPr>
    </w:p>
    <w:p>
      <w:pPr>
        <w:jc w:val="both"/>
        <w:ind w:firstLine="8"/>
        <w:spacing w:after="0" w:line="252" w:lineRule="auto"/>
        <w:tabs>
          <w:tab w:leader="none" w:pos="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located in Northern Virginia, Washington, D.C., Southern Maryland, Camden County, New Jersey and New Castle County, Delaware. In addition to the four segments, our corporate group is responsible for cash and investment management, development/redevelopment of certain real estate properties during the construction period, and certain other general support functions.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performance are dependent upon the demand for office, residential, life science, parking and retail space in our markets, our leasing results, our acquisition, disposition and development/redevelopment activity, our financing activity, our cash requirements and economic and market conditions, including prevailing interest rates.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generate cash and revenue from leases of space at our Properties and, to a lesser extent, from the management and development/redevelopment of properties owned by third parties (primarily unconsolidated real estate ventures) and from investments in the unconsolidated real estate ventures. Factors that we evaluate when leasing space include rental rates, costs of tenant improvements, tenant creditworthiness, current and expected operating costs, the length of the lease term, vacancy levels and demand for space. We also generate cash through sales of assets, including assets that we do not view as core to our business plan, either because of location or expected growth potential, and assets that are commanding premium prices from third-party investors.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macroeconomic conditions, including but not limited to inflation, higher interest rates and changes in work patterns, including remote working arrangements, that have contributed to negative lease absorption within our office markets, have had a dampening effect on the fundamentals of our business, as reflected in, among other metrics, our period to period changes in our borrowing costs, occupancy levels and rental rates, as well as downward pressures on asset valuations. These adverse conditions could continue to impact our net income, cash flows and liquidity and could have a material adverse effect on our financial condition and results of operations.</w:t>
      </w:r>
    </w:p>
    <w:p>
      <w:pPr>
        <w:spacing w:after="0" w:line="1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Notwithstanding the challenging macroeconomic conditions, which have contributed to recent difficulties in asset dispositions at acceptable prices, leasing of vacant space at attractive rents and sourcing of capital for development projects at acceptable costs, as well as to impairments of assets, we believe that our portfolio of Properties and investments, and liquidity profile, will allow us to maintain stable operating performance. In our ongoing assessment of our Properties, we consider both their quantitative and qualitative attributes, including in relation to other properties within a given submarket or adjacent submarkets that compete with our portfolio for tenants. The attributes that we consider in our assessment include the age and condition of the property, average asking rental rates, access to mass transit and highways, floorplate efficiencies, amenities within, and nearby, the property and availability of parking as well as market demographics that bear on demand for space at our properties. We also believe that our portfolio and liquidity profile will enable us to raise capital, as necessary, in various forms and from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different sources, including through secured or unsecured loans from banks, pension funds and life insurance companies. However, there can be no assurance that we will be able to borrow funds on terms that are economically attractive or at all.</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seek revenue growth throughout our portfolio by increasing occupancy and rental rates. Occupancy at our Core Properties at March 31, 2026 was 88.3% compared to 86.6% at March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selected operating and leasing statistics of our Core Properties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Activity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Core Properties (1):</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rentable square feet owned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11,392,096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11,930,549</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Occupancy percentage (end of period)</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occupancy percentage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Portfolio(2):</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Tenant retention rate (3)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leases and expansions commenced (square feet)</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94,934</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 renewed (square feet)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231,725</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(negative) absorption (square feet)</w:t>
            </w:r>
          </w:p>
        </w:tc>
        <w:tc>
          <w:tcPr>
            <w:tcW w:w="28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(38,479)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(146,458)</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rental rates per square foot (4):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and expansion rental rates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Renewal rental rates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Combined rental rates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lease term for leases commenced (years)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annual rent (per square foot) (7) (8)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36.68</w:t>
            </w:r>
          </w:p>
        </w:tc>
      </w:tr>
      <w:tr>
        <w:trPr>
          <w:trHeight w:val="230"/>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Costs Committed (5) (6) (7):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commissions (per square foot)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improvements (per square foot)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11.08</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 per square foot per lease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annualized capital as % of average annual rent (7) (8)</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bl>
    <w:p>
      <w:pPr>
        <w:spacing w:after="0" w:line="72" w:lineRule="exact"/>
        <w:rPr>
          <w:sz w:val="20"/>
          <w:szCs w:val="20"/>
          <w:color w:val="auto"/>
        </w:rPr>
      </w:pPr>
    </w:p>
    <w:p>
      <w:pPr>
        <w:ind w:left="660" w:right="280" w:hanging="652"/>
        <w:spacing w:after="0" w:line="263"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wholly-owned operating properties. Does not include Properties under development/redevelopment, recently completed not-stabilized properties, or properties held for sale.</w:t>
      </w:r>
    </w:p>
    <w:p>
      <w:pPr>
        <w:ind w:left="660" w:hanging="652"/>
        <w:spacing w:after="0" w:line="259"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leasing at recently completed not-stabilized property. The statistics presented for periods ended prior to the three-month period ended March 31, 2026 have not been adjusted for properties sold subsequent to the periods presented.</w:t>
      </w: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percentage of total net rentable square feet.</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base rent plus reimbursement for operating expenses and real estate taxes.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on a weighted average basis.</w:t>
      </w:r>
    </w:p>
    <w:p>
      <w:pPr>
        <w:spacing w:after="0" w:line="4" w:lineRule="exact"/>
        <w:rPr>
          <w:rFonts w:ascii="Times New Roman" w:cs="Times New Roman" w:eastAsia="Times New Roman" w:hAnsi="Times New Roman"/>
          <w:sz w:val="14"/>
          <w:szCs w:val="14"/>
          <w:color w:val="auto"/>
        </w:rPr>
      </w:pPr>
    </w:p>
    <w:p>
      <w:pPr>
        <w:ind w:left="660" w:hanging="652"/>
        <w:spacing w:after="0" w:line="259"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in capital costs committed for the three months ended March 31, 2026 is primarily due to leases having lower average lease terms and a lower percentage of new leases compared to renewals.</w:t>
      </w: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comparison purposes, we exclude new leases of space when the previous lease of such space ended more than 12 months prior to the signing date for the new leases.</w:t>
      </w:r>
    </w:p>
    <w:p>
      <w:pPr>
        <w:spacing w:after="0" w:line="14" w:lineRule="exact"/>
        <w:rPr>
          <w:rFonts w:ascii="Times New Roman" w:cs="Times New Roman" w:eastAsia="Times New Roman" w:hAnsi="Times New Roman"/>
          <w:sz w:val="14"/>
          <w:szCs w:val="14"/>
          <w:color w:val="auto"/>
        </w:rPr>
      </w:pPr>
    </w:p>
    <w:p>
      <w:pPr>
        <w:ind w:left="660" w:right="200" w:hanging="652"/>
        <w:spacing w:after="0"/>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annual rent represents total initial contractual rent under the applicable leases (as impacted by free rent) plus contractual fixed rent increases due under the applicable leases averaged over the total terms (without regard to extension options) of the applicable leases.</w:t>
      </w:r>
    </w:p>
    <w:p>
      <w:pPr>
        <w:jc w:val="both"/>
        <w:spacing w:after="0" w:line="234" w:lineRule="auto"/>
        <w:rPr>
          <w:sz w:val="20"/>
          <w:szCs w:val="20"/>
          <w:color w:val="auto"/>
        </w:rPr>
      </w:pPr>
      <w:r>
        <w:rPr>
          <w:rFonts w:ascii="Times New Roman" w:cs="Times New Roman" w:eastAsia="Times New Roman" w:hAnsi="Times New Roman"/>
          <w:sz w:val="18"/>
          <w:szCs w:val="18"/>
          <w:color w:val="auto"/>
        </w:rPr>
        <w:t>Our actual leasing capital costs as a percentage of rents are largely a function of the composition of our leases to new tenants or renewals with existing tenants, in addition to size and timing of occupancy. We generally experience lower leasing costs in connection with the renewal of leases with existing tenants compared to leases with new tenants. Our properties compete for tenants with similar properties primarily on the basis of location, total occupancy costs (including base rent and operating expenses), services and amenities, and the design and condition of the properties. As leases at our properties expire, we face competition to renew or re-let space in light of the competing properties within the applicable markets. As a result, and as part of customary lease negotiations, we are often required to provide rent concessions or abatements, incur charges for tenant improvements and other inducements, including early termination rights or potential below market renewal options, all of which impact, in varying degrees, annualized rents.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occupancy statistics of our Core Properties by segment for the three months ended March 31,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spacing w:after="0"/>
              <w:rPr>
                <w:sz w:val="19"/>
                <w:szCs w:val="19"/>
                <w:color w:val="auto"/>
              </w:rPr>
            </w:pPr>
          </w:p>
        </w:tc>
        <w:tc>
          <w:tcPr>
            <w:tcW w:w="3220" w:type="dxa"/>
            <w:vAlign w:val="bottom"/>
            <w:tcBorders>
              <w:bottom w:val="single" w:sz="8" w:color="auto"/>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020" w:type="dxa"/>
            <w:vAlign w:val="bottom"/>
          </w:tcPr>
          <w:p>
            <w:pPr>
              <w:spacing w:after="0"/>
              <w:rPr>
                <w:sz w:val="19"/>
                <w:szCs w:val="19"/>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Occupied</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80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CBD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 Suburbs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Austin, Texas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80.4 %</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Core Properties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8"/>
        </w:trPr>
        <w:tc>
          <w:tcPr>
            <w:tcW w:w="80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r>
    </w:tbl>
    <w:p>
      <w:pPr>
        <w:spacing w:after="0" w:line="200" w:lineRule="exact"/>
        <w:rPr>
          <w:sz w:val="20"/>
          <w:szCs w:val="20"/>
          <w:color w:val="auto"/>
        </w:rPr>
      </w:pPr>
    </w:p>
    <w:p>
      <w:pPr>
        <w:spacing w:after="0" w:line="3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occupancy statistics of our Properties, broken down by property types for the three months ended March 31, 2026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64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178"/>
        </w:trPr>
        <w:tc>
          <w:tcPr>
            <w:tcW w:w="3860" w:type="dxa"/>
            <w:vAlign w:val="bottom"/>
          </w:tcPr>
          <w:p>
            <w:pPr>
              <w:spacing w:after="0"/>
              <w:rPr>
                <w:sz w:val="15"/>
                <w:szCs w:val="15"/>
                <w:color w:val="auto"/>
              </w:rPr>
            </w:pPr>
          </w:p>
        </w:tc>
        <w:tc>
          <w:tcPr>
            <w:tcW w:w="1860" w:type="dxa"/>
            <w:vAlign w:val="bottom"/>
            <w:tcBorders>
              <w:top w:val="single" w:sz="8" w:color="auto"/>
            </w:tcBorders>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8"/>
              </w:rPr>
              <w:t>% Net Operating</w:t>
            </w:r>
          </w:p>
        </w:tc>
        <w:tc>
          <w:tcPr>
            <w:tcW w:w="17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 Net Operating</w:t>
            </w:r>
          </w:p>
        </w:tc>
        <w:tc>
          <w:tcPr>
            <w:tcW w:w="12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Occupied</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38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 (1)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r>
    </w:tbl>
    <w:p>
      <w:pPr>
        <w:spacing w:after="0" w:line="247" w:lineRule="exact"/>
        <w:rPr>
          <w:sz w:val="20"/>
          <w:szCs w:val="20"/>
          <w:color w:val="auto"/>
        </w:rPr>
      </w:pPr>
    </w:p>
    <w:p>
      <w:pPr>
        <w:ind w:left="660" w:hanging="652"/>
        <w:spacing w:after="0" w:line="27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Philadelphia portfolio assets located at 3000 Market Street and 3025 Market Street in Philadelphia, Pennsylvania, dedicated life science floors at Cira Centre in Philadelphia, Pennsylvania and 250 King of Prussia Road in Radnor, Pennsylvania.</w:t>
      </w:r>
    </w:p>
    <w:p>
      <w:pPr>
        <w:ind w:left="640" w:hanging="632"/>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residential operation at 2929 Walnut Street and 3025 JFK in Philadelphia, Pennsylvania.</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Properties under development/redevelopment.</w:t>
      </w:r>
    </w:p>
    <w:p>
      <w:pPr>
        <w:spacing w:after="0" w:line="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14, “Segment Information,” to our consolidated financial statements for the definition of Net Operating Income.</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seeking to increase revenue through our operating, financing and investment activities, we also seek to minimize operating risks, including (i) tenant rollover risk, (ii) tenant credit risk and (iii) development risk.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Rollover Risk</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risk that tenant leases, upon expiration, will not be renewed, that space may not be relet, or that the terms of renewal or reletting (including the cost of renovations) may be less favorable to us than the current lease terms. Leases that accounted for approximately 3.2% of our aggregate final annualized base rents as of March 31, 2026 (representing approximately 3.3% of the net rentable square feet of the properties) are scheduled to expire without penalty during the remainder of 2026. We maintain an active dialogue with our tenants in an effort to maximize lease renewals. If we are unable to renew leases or relet space under expiring leases, at anticipated rental rates, or if our tenants terminate their leases early, our cash flow would be adversely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Credit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tenant default, we may experience delays in enforcing our rights as a landlord and may incur substantial costs in protecting our investment. Our management evaluates our accrued rent receivable reserve policy in light of our tenant base and general and local economic conditions. Our accrued rent receivable allowance was $0.4 million, or 0.2%, of our accrued rent receivable balance as of March 31, 2026, compared to $0.4 million, or 0.2%, of our accrued rent receivable balance as of December 31,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economic conditions deteriorate, including as a result of inflation and high interest rates, we may experience increases in past due accounts, defaults, lower occupancy and reduced effective rents. These conditions would negatively affect our future net income and cash flows and could have a material adverse effect on our financial condition.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and Redevelopment Risk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Redevelopment projects are subject to a variety of risks, including construction delays, construction cost overruns, building moratoriums, inability to obtain financing on favorable terms, inability to lease space at projected rates, inability to enter into construction, development, redevelopment and other agreements on favorable terms, and unexpected environmental and other hazards.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following projects are in active development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Substantial</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Approximate</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Estimated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Property/Portfolio Name</w:t>
            </w: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Location</w:t>
            </w:r>
          </w:p>
        </w:tc>
        <w:tc>
          <w:tcPr>
            <w:tcW w:w="10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Completion</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Activity Type</w:t>
            </w:r>
          </w:p>
        </w:tc>
        <w:tc>
          <w:tcPr>
            <w:tcW w:w="11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Room Count or</w:t>
            </w:r>
          </w:p>
        </w:tc>
        <w:tc>
          <w:tcPr>
            <w:tcW w:w="9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Debt Financing</w:t>
            </w: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Date</w:t>
            </w:r>
          </w:p>
        </w:tc>
        <w:tc>
          <w:tcPr>
            <w:tcW w:w="1220" w:type="dxa"/>
            <w:vAlign w:val="bottom"/>
            <w:gridSpan w:val="2"/>
            <w:vMerge w:val="continue"/>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Square Footage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Costs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Funded</w:t>
            </w:r>
          </w:p>
        </w:tc>
        <w:tc>
          <w:tcPr>
            <w:tcW w:w="3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165 King of Prussia Road</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Radnor, PA</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Q2 2026</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 Rooms</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$59,500</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$40,724</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3151 Market Street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Q4 2024</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441,000</w:t>
            </w:r>
          </w:p>
        </w:tc>
        <w:tc>
          <w:tcPr>
            <w:tcW w:w="8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$317,000</w:t>
            </w:r>
          </w:p>
        </w:tc>
        <w:tc>
          <w:tcPr>
            <w:tcW w:w="1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$221,420</w:t>
            </w:r>
          </w:p>
        </w:tc>
        <w:tc>
          <w:tcPr>
            <w:tcW w:w="6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(a)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right="20" w:hanging="652"/>
        <w:spacing w:after="0" w:line="282" w:lineRule="auto"/>
        <w:tabs>
          <w:tab w:leader="none" w:pos="6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2025, we closed on a $50.5 million Commercial Property Assessed Clean Energy (“C-PACE”) financing for the development project at 3151 Market Street, which includes $30.0 million in future funding for new leasing.</w:t>
      </w:r>
    </w:p>
    <w:p>
      <w:pPr>
        <w:spacing w:after="0" w:line="1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property listed above, we have classified one office building in Wilmington, Delaware as redevelopment, but we have yet to incur material development costs on the project.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following unconsolidated real estate venture development project remains in development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Property/Portfolio Name (% of BDN</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Substantial</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Approximate</w:t>
            </w:r>
          </w:p>
        </w:tc>
        <w:tc>
          <w:tcPr>
            <w:tcW w:w="10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Estimated</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Construction</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Our Share</w:t>
            </w:r>
          </w:p>
        </w:tc>
        <w:tc>
          <w:tcPr>
            <w:tcW w:w="10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Partner's Share</w:t>
            </w:r>
          </w:p>
        </w:tc>
        <w:tc>
          <w:tcPr>
            <w:tcW w:w="0" w:type="dxa"/>
            <w:vAlign w:val="bottom"/>
          </w:tcPr>
          <w:p>
            <w:pPr>
              <w:spacing w:after="0"/>
              <w:rPr>
                <w:sz w:val="1"/>
                <w:szCs w:val="1"/>
                <w:color w:val="auto"/>
              </w:rPr>
            </w:pPr>
          </w:p>
        </w:tc>
      </w:tr>
      <w:tr>
        <w:trPr>
          <w:trHeight w:val="148"/>
        </w:trPr>
        <w:tc>
          <w:tcPr>
            <w:tcW w:w="2280" w:type="dxa"/>
            <w:vAlign w:val="bottom"/>
            <w:gridSpan w:val="2"/>
            <w:vMerge w:val="continue"/>
          </w:tcPr>
          <w:p>
            <w:pPr>
              <w:spacing w:after="0"/>
              <w:rPr>
                <w:sz w:val="12"/>
                <w:szCs w:val="12"/>
                <w:color w:val="auto"/>
              </w:rPr>
            </w:pPr>
          </w:p>
        </w:tc>
        <w:tc>
          <w:tcPr>
            <w:tcW w:w="13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Location</w:t>
            </w: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Completion</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Remaining to</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 to be</w:t>
            </w:r>
          </w:p>
        </w:tc>
        <w:tc>
          <w:tcPr>
            <w:tcW w:w="0" w:type="dxa"/>
            <w:vAlign w:val="bottom"/>
          </w:tcPr>
          <w:p>
            <w:pPr>
              <w:spacing w:after="0"/>
              <w:rPr>
                <w:sz w:val="1"/>
                <w:szCs w:val="1"/>
                <w:color w:val="auto"/>
              </w:rPr>
            </w:pPr>
          </w:p>
        </w:tc>
      </w:tr>
      <w:tr>
        <w:trPr>
          <w:trHeight w:val="193"/>
        </w:trPr>
        <w:tc>
          <w:tcPr>
            <w:tcW w:w="22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Ownership)</w:t>
            </w:r>
          </w:p>
        </w:tc>
        <w:tc>
          <w:tcPr>
            <w:tcW w:w="1380" w:type="dxa"/>
            <w:vAlign w:val="bottom"/>
            <w:gridSpan w:val="2"/>
            <w:vMerge w:val="continue"/>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Date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Square Footage</w:t>
            </w: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Costs (a)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Funded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Loan Financing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 Funded</w:t>
            </w:r>
          </w:p>
        </w:tc>
        <w:tc>
          <w:tcPr>
            <w:tcW w:w="10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Funded</w:t>
            </w:r>
          </w:p>
        </w:tc>
        <w:tc>
          <w:tcPr>
            <w:tcW w:w="0" w:type="dxa"/>
            <w:vAlign w:val="bottom"/>
          </w:tcPr>
          <w:p>
            <w:pPr>
              <w:spacing w:after="0"/>
              <w:rPr>
                <w:sz w:val="1"/>
                <w:szCs w:val="1"/>
                <w:color w:val="auto"/>
              </w:rPr>
            </w:pPr>
          </w:p>
        </w:tc>
      </w:tr>
      <w:tr>
        <w:trPr>
          <w:trHeight w:val="201"/>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Uptown - Office (67%)</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Q1 2024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206,400</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161,552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121,650</w:t>
            </w:r>
          </w:p>
        </w:tc>
        <w:tc>
          <w:tcPr>
            <w:tcW w:w="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costs include base building costs plus projected tenant fit out costs for remaining vacancies.</w:t>
      </w:r>
    </w:p>
    <w:p>
      <w:pPr>
        <w:spacing w:after="0" w:line="27" w:lineRule="exact"/>
        <w:rPr>
          <w:rFonts w:ascii="Times New Roman" w:cs="Times New Roman" w:eastAsia="Times New Roman" w:hAnsi="Times New Roman"/>
          <w:sz w:val="14"/>
          <w:szCs w:val="14"/>
          <w:color w:val="auto"/>
        </w:rPr>
      </w:pPr>
    </w:p>
    <w:p>
      <w:pPr>
        <w:ind w:firstLine="8"/>
        <w:spacing w:after="0" w:line="263" w:lineRule="auto"/>
        <w:tabs>
          <w:tab w:leader="none" w:pos="20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 2026, the One Uptown Office Venture entered into the extension option for its loan with the existing lender. The maturity of the One Uptown Office loan was extended until July 29, 2028, and the total loan capacity was reduced from $121.7 million to $108.9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GAAP. The preparation of these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for the reporting periods. Certain accounting policies are considered to be critical accounting policies, as they require management to make assumptions about matters that are highly uncertain at the time the estimate is made and changes in the accounting estimate are reasonably likely to occur from period to period. Management bases its estimates and assumptions on historical experience and current economic conditions.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contains a discussion of our critical accounting policies. There have been no significant changes in our critical accounting policies since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on our consolidated financial statements for the three months ended March 31, 2026 and 2025. We believe that presentation of our consolidated financial information, without a breakdown by segment, will effectively present important information useful to our investors.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NOI as presented in the comparative analysis below is a non-GAAP financial measure defined as total revenue less property operating expenses, real estate taxes and third party management expenses. Property operating expenses that are included in 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is a non-GAAP financial measure that we use internally to evaluate the operating performance of our real estate assets by segment, as presented in Note 14, “Segment Information,” to our Consolidated Financial Statements, and of our business as a whole. We believe NOI provides useful information to investors regarding our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 GAAP and should not be considered as an alternative to those measures in evaluating our liquidity or operating performance. NOI does not reflect interest expenses, real estate impairment, depreciation and amortization costs, capital expenditures and leasing costs. We believe that net income (loss), as defined by GAAP, is the most appropriate earnings measure. See Note 14, “Segment Information,” to our consolidated financial statements for a reconciliation of NOI to our consolidated net income (loss) as defined by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March 31, 2026 and March 31, 2025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comparison of the three months ended March 31, 2026 to the three months ended March 31, 2025 makes reference to the effect of the following:</w:t>
      </w:r>
    </w:p>
    <w:p>
      <w:pPr>
        <w:spacing w:after="0" w:line="162" w:lineRule="exact"/>
        <w:rPr>
          <w:sz w:val="20"/>
          <w:szCs w:val="20"/>
          <w:color w:val="auto"/>
        </w:rPr>
      </w:pPr>
    </w:p>
    <w:p>
      <w:pPr>
        <w:jc w:val="both"/>
        <w:ind w:left="660" w:hanging="652"/>
        <w:spacing w:after="0" w:line="255"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Property Portfolio,” which represents 59 properties containing an aggregate of approximately 11.2 million net rentable square feet that we owned and consolidated for the three-month periods ended March 31, 2026 and 2025. The Same Store Property Portfolio includes properties acquired or placed in service on or prior to January 1, 2025 and owned and consolidated through March 31, 2026, excluding properties classified as held for sale;</w:t>
      </w:r>
    </w:p>
    <w:p>
      <w:pPr>
        <w:spacing w:after="0" w:line="2" w:lineRule="exact"/>
        <w:rPr>
          <w:rFonts w:ascii="Times New Roman" w:cs="Times New Roman" w:eastAsia="Times New Roman" w:hAnsi="Times New Roman"/>
          <w:sz w:val="18"/>
          <w:szCs w:val="18"/>
          <w:color w:val="auto"/>
        </w:rPr>
      </w:pPr>
    </w:p>
    <w:p>
      <w:pPr>
        <w:ind w:left="640" w:hanging="632"/>
        <w:spacing w:after="0" w:line="236"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Portfolio,” which represents all properties owned and consolidated by us during the three months ended March 31, 2026 and 2025;</w:t>
      </w:r>
    </w:p>
    <w:p>
      <w:pPr>
        <w:ind w:left="660" w:right="20" w:hanging="652"/>
        <w:spacing w:after="0" w:line="234"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Completed/Acquired Properties,” which represents two properties (250 King of Prussia Road and 3025 JFK - office) placed into service or acquired on or subsequent to January 1, 2025;</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30"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“Development/Redevelopment Properties,” which represents three properties (300 Delaware Avenue, 165 King of Prussia Road and 3151 Market Street) currently in development/redevelopment. A property is excluded from our Same Store Property Portfolio and moved into Development/Redevelopment Properties in the period that we determine to proceed with development/redevelopment for a future development strategy; and</w:t>
      </w:r>
    </w:p>
    <w:p>
      <w:pPr>
        <w:spacing w:after="0" w:line="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2025 through Q1 2026 Dispositions,” which represents properties disposed of from January 1, 2025 through 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246" w:lineRule="exact"/>
        <w:rPr>
          <w:sz w:val="20"/>
          <w:szCs w:val="20"/>
          <w:color w:val="auto"/>
        </w:rPr>
      </w:pPr>
    </w:p>
    <w:tbl>
      <w:tblPr>
        <w:tblLayout w:type="fixed"/>
        <w:tblInd w:w="240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4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5"/>
              </w:rPr>
              <w:t>Recently</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Development/Redevelopment</w:t>
            </w:r>
          </w:p>
        </w:tc>
        <w:tc>
          <w:tcPr>
            <w:tcW w:w="1560" w:type="dxa"/>
            <w:vAlign w:val="bottom"/>
            <w:vMerge w:val="restart"/>
          </w:tcPr>
          <w:p>
            <w:pPr>
              <w:jc w:val="center"/>
              <w:ind w:right="417"/>
              <w:spacing w:after="0"/>
              <w:rPr>
                <w:sz w:val="20"/>
                <w:szCs w:val="20"/>
                <w:color w:val="auto"/>
              </w:rPr>
            </w:pPr>
            <w:r>
              <w:rPr>
                <w:rFonts w:ascii="Times New Roman" w:cs="Times New Roman" w:eastAsia="Times New Roman" w:hAnsi="Times New Roman"/>
                <w:sz w:val="13"/>
                <w:szCs w:val="13"/>
                <w:color w:val="auto"/>
                <w:w w:val="94"/>
              </w:rPr>
              <w:t>Other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460" w:type="dxa"/>
            <w:vAlign w:val="bottom"/>
          </w:tcPr>
          <w:p>
            <w:pPr>
              <w:jc w:val="center"/>
              <w:ind w:left="177"/>
              <w:spacing w:after="0" w:line="122" w:lineRule="exact"/>
              <w:rPr>
                <w:sz w:val="20"/>
                <w:szCs w:val="20"/>
                <w:color w:val="auto"/>
              </w:rPr>
            </w:pPr>
            <w:r>
              <w:rPr>
                <w:rFonts w:ascii="Times New Roman" w:cs="Times New Roman" w:eastAsia="Times New Roman" w:hAnsi="Times New Roman"/>
                <w:sz w:val="13"/>
                <w:szCs w:val="13"/>
                <w:color w:val="auto"/>
                <w:w w:val="97"/>
              </w:rPr>
              <w:t>Completed/Acquired</w:t>
            </w:r>
          </w:p>
        </w:tc>
        <w:tc>
          <w:tcPr>
            <w:tcW w:w="17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Same Store Property Portfolio</w:t>
            </w:r>
          </w:p>
        </w:tc>
        <w:tc>
          <w:tcPr>
            <w:tcW w:w="14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8"/>
              </w:rPr>
              <w:t>Properties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Properties</w:t>
            </w:r>
          </w:p>
        </w:tc>
        <w:tc>
          <w:tcPr>
            <w:tcW w:w="156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6"/>
              </w:rPr>
              <w:t>(Eliminations) (a)</w:t>
            </w:r>
          </w:p>
        </w:tc>
        <w:tc>
          <w:tcPr>
            <w:tcW w:w="13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3"/>
              </w:rPr>
              <w:t>Total Portfolio</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300"/>
        <w:spacing w:after="0" w:line="236" w:lineRule="auto"/>
        <w:rPr>
          <w:sz w:val="20"/>
          <w:szCs w:val="20"/>
          <w:color w:val="auto"/>
        </w:rPr>
      </w:pPr>
      <w:r>
        <w:rPr>
          <w:rFonts w:ascii="Times New Roman" w:cs="Times New Roman" w:eastAsia="Times New Roman" w:hAnsi="Times New Roman"/>
          <w:sz w:val="12"/>
          <w:szCs w:val="12"/>
          <w:i w:val="1"/>
          <w:iCs w:val="1"/>
          <w:color w:val="auto"/>
        </w:rPr>
        <w:t>(dollars and square feet in millions except per share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14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Revenue: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Rents</w:t>
      </w:r>
    </w:p>
    <w:p>
      <w:pPr>
        <w:spacing w:after="0" w:line="26"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Third party management fees, labor reimbursement</w:t>
      </w:r>
    </w:p>
    <w:p>
      <w:pPr>
        <w:ind w:left="360"/>
        <w:spacing w:after="0"/>
        <w:rPr>
          <w:sz w:val="20"/>
          <w:szCs w:val="20"/>
          <w:color w:val="auto"/>
        </w:rPr>
      </w:pPr>
      <w:r>
        <w:rPr>
          <w:rFonts w:ascii="Times New Roman" w:cs="Times New Roman" w:eastAsia="Times New Roman" w:hAnsi="Times New Roman"/>
          <w:sz w:val="13"/>
          <w:szCs w:val="13"/>
          <w:color w:val="auto"/>
        </w:rPr>
        <w:t>and leasing</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Other</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Total revenue</w:t>
      </w:r>
    </w:p>
    <w:p>
      <w:pPr>
        <w:spacing w:after="0" w:line="40" w:lineRule="exact"/>
        <w:rPr>
          <w:sz w:val="20"/>
          <w:szCs w:val="20"/>
          <w:color w:val="auto"/>
        </w:rPr>
      </w:pPr>
    </w:p>
    <w:p>
      <w:pPr>
        <w:ind w:left="360" w:right="360"/>
        <w:spacing w:after="0" w:line="256" w:lineRule="auto"/>
        <w:rPr>
          <w:sz w:val="20"/>
          <w:szCs w:val="20"/>
          <w:color w:val="auto"/>
        </w:rPr>
      </w:pPr>
      <w:r>
        <w:rPr>
          <w:rFonts w:ascii="Times New Roman" w:cs="Times New Roman" w:eastAsia="Times New Roman" w:hAnsi="Times New Roman"/>
          <w:sz w:val="12"/>
          <w:szCs w:val="12"/>
          <w:color w:val="auto"/>
        </w:rPr>
        <w:t>Property operating expenses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Real estate taxes</w:t>
      </w:r>
    </w:p>
    <w:p>
      <w:pPr>
        <w:spacing w:after="0" w:line="26" w:lineRule="exact"/>
        <w:rPr>
          <w:sz w:val="20"/>
          <w:szCs w:val="20"/>
          <w:color w:val="auto"/>
        </w:rPr>
      </w:pPr>
    </w:p>
    <w:p>
      <w:pPr>
        <w:ind w:left="360" w:right="60"/>
        <w:spacing w:after="0" w:line="229" w:lineRule="auto"/>
        <w:rPr>
          <w:sz w:val="20"/>
          <w:szCs w:val="20"/>
          <w:color w:val="auto"/>
        </w:rPr>
      </w:pPr>
      <w:r>
        <w:rPr>
          <w:rFonts w:ascii="Times New Roman" w:cs="Times New Roman" w:eastAsia="Times New Roman" w:hAnsi="Times New Roman"/>
          <w:sz w:val="13"/>
          <w:szCs w:val="13"/>
          <w:color w:val="auto"/>
        </w:rPr>
        <w:t>Third party management expenses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Net operating income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Depreciation and</w:t>
      </w:r>
    </w:p>
    <w:p>
      <w:pPr>
        <w:ind w:left="360"/>
        <w:spacing w:after="0"/>
        <w:rPr>
          <w:sz w:val="20"/>
          <w:szCs w:val="20"/>
          <w:color w:val="auto"/>
        </w:rPr>
      </w:pPr>
      <w:r>
        <w:rPr>
          <w:rFonts w:ascii="Times New Roman" w:cs="Times New Roman" w:eastAsia="Times New Roman" w:hAnsi="Times New Roman"/>
          <w:sz w:val="13"/>
          <w:szCs w:val="13"/>
          <w:color w:val="auto"/>
        </w:rPr>
        <w:t>amortization</w:t>
      </w:r>
    </w:p>
    <w:p>
      <w:pPr>
        <w:spacing w:after="0" w:line="26"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General &amp; administrative expenses</w:t>
      </w:r>
    </w:p>
    <w:p>
      <w:pPr>
        <w:spacing w:after="0" w:line="25"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Provision for impairment (c)</w:t>
      </w:r>
    </w:p>
    <w:p>
      <w:pPr>
        <w:spacing w:after="0" w:line="25" w:lineRule="exact"/>
        <w:rPr>
          <w:sz w:val="20"/>
          <w:szCs w:val="20"/>
          <w:color w:val="auto"/>
        </w:rPr>
      </w:pPr>
    </w:p>
    <w:p>
      <w:pPr>
        <w:ind w:left="360"/>
        <w:spacing w:after="0" w:line="229" w:lineRule="auto"/>
        <w:rPr>
          <w:sz w:val="20"/>
          <w:szCs w:val="20"/>
          <w:color w:val="auto"/>
        </w:rPr>
      </w:pPr>
      <w:r>
        <w:rPr>
          <w:rFonts w:ascii="Times New Roman" w:cs="Times New Roman" w:eastAsia="Times New Roman" w:hAnsi="Times New Roman"/>
          <w:sz w:val="13"/>
          <w:szCs w:val="13"/>
          <w:color w:val="auto"/>
        </w:rPr>
        <w:t>Net gain on disposition of real estate</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Operating income (loss)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Number of properties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Square feet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Same Store Occupancy % (b)</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Income (Expense):</w:t>
      </w:r>
    </w:p>
    <w:p>
      <w:pPr>
        <w:spacing w:after="0" w:line="26" w:lineRule="exact"/>
        <w:rPr>
          <w:sz w:val="20"/>
          <w:szCs w:val="20"/>
          <w:color w:val="auto"/>
        </w:rPr>
      </w:pPr>
    </w:p>
    <w:p>
      <w:pPr>
        <w:ind w:left="360" w:right="140"/>
        <w:spacing w:after="0" w:line="229" w:lineRule="auto"/>
        <w:rPr>
          <w:sz w:val="20"/>
          <w:szCs w:val="20"/>
          <w:color w:val="auto"/>
        </w:rPr>
      </w:pPr>
      <w:r>
        <w:rPr>
          <w:rFonts w:ascii="Times New Roman" w:cs="Times New Roman" w:eastAsia="Times New Roman" w:hAnsi="Times New Roman"/>
          <w:sz w:val="13"/>
          <w:szCs w:val="13"/>
          <w:color w:val="auto"/>
        </w:rPr>
        <w:t>Interest and investment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26"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2"/>
          <w:szCs w:val="12"/>
          <w:color w:val="auto"/>
        </w:rPr>
        <w:t>Interest expense — Deferred financing costs</w:t>
      </w:r>
    </w:p>
    <w:p>
      <w:pPr>
        <w:spacing w:after="0" w:line="16"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Equity in loss of unconsolidated real estate</w:t>
      </w:r>
    </w:p>
    <w:p>
      <w:pPr>
        <w:ind w:left="360"/>
        <w:spacing w:after="0"/>
        <w:rPr>
          <w:sz w:val="20"/>
          <w:szCs w:val="20"/>
          <w:color w:val="auto"/>
        </w:rPr>
      </w:pPr>
      <w:r>
        <w:rPr>
          <w:rFonts w:ascii="Times New Roman" w:cs="Times New Roman" w:eastAsia="Times New Roman" w:hAnsi="Times New Roman"/>
          <w:sz w:val="13"/>
          <w:szCs w:val="13"/>
          <w:color w:val="auto"/>
        </w:rPr>
        <w:t>ventures</w:t>
      </w:r>
    </w:p>
    <w:p>
      <w:pPr>
        <w:spacing w:after="0" w:line="12" w:lineRule="exact"/>
        <w:rPr>
          <w:sz w:val="20"/>
          <w:szCs w:val="20"/>
          <w:color w:val="auto"/>
        </w:rPr>
      </w:pPr>
    </w:p>
    <w:p>
      <w:pPr>
        <w:ind w:left="360" w:right="180"/>
        <w:spacing w:after="0" w:line="256" w:lineRule="auto"/>
        <w:rPr>
          <w:sz w:val="20"/>
          <w:szCs w:val="20"/>
          <w:color w:val="auto"/>
        </w:rPr>
      </w:pPr>
      <w:r>
        <w:rPr>
          <w:rFonts w:ascii="Times New Roman" w:cs="Times New Roman" w:eastAsia="Times New Roman" w:hAnsi="Times New Roman"/>
          <w:sz w:val="12"/>
          <w:szCs w:val="12"/>
          <w:color w:val="auto"/>
        </w:rPr>
        <w:t>Net gain on real estate venture transactions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loss</w:t>
      </w:r>
    </w:p>
    <w:p>
      <w:pPr>
        <w:spacing w:after="0" w:line="53" w:lineRule="exact"/>
        <w:rPr>
          <w:sz w:val="20"/>
          <w:szCs w:val="20"/>
          <w:color w:val="auto"/>
        </w:rPr>
      </w:pPr>
    </w:p>
    <w:p>
      <w:pPr>
        <w:ind w:left="140" w:right="220"/>
        <w:spacing w:after="0" w:line="235" w:lineRule="auto"/>
        <w:rPr>
          <w:sz w:val="20"/>
          <w:szCs w:val="20"/>
          <w:color w:val="auto"/>
        </w:rPr>
      </w:pPr>
      <w:r>
        <w:rPr>
          <w:rFonts w:ascii="Times New Roman" w:cs="Times New Roman" w:eastAsia="Times New Roman" w:hAnsi="Times New Roman"/>
          <w:sz w:val="12"/>
          <w:szCs w:val="12"/>
          <w:color w:val="auto"/>
        </w:rPr>
        <w:t>Net loss attributable to Common Shareholders of</w:t>
      </w:r>
    </w:p>
    <w:p>
      <w:pPr>
        <w:ind w:left="140"/>
        <w:spacing w:after="0"/>
        <w:rPr>
          <w:sz w:val="20"/>
          <w:szCs w:val="20"/>
          <w:color w:val="auto"/>
        </w:rPr>
      </w:pPr>
      <w:r>
        <w:rPr>
          <w:rFonts w:ascii="Times New Roman" w:cs="Times New Roman" w:eastAsia="Times New Roman" w:hAnsi="Times New Roman"/>
          <w:sz w:val="13"/>
          <w:szCs w:val="13"/>
          <w:color w:val="auto"/>
        </w:rPr>
        <w:t>Brandywine Realty Trust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Change</w:t>
            </w: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Change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Change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Change</w:t>
            </w:r>
          </w:p>
        </w:tc>
        <w:tc>
          <w:tcPr>
            <w:tcW w:w="140" w:type="dxa"/>
            <w:vAlign w:val="bottom"/>
            <w:tcBorders>
              <w:bottom w:val="single" w:sz="8" w:color="auto"/>
            </w:tcBorders>
          </w:tcPr>
          <w:p>
            <w:pPr>
              <w:spacing w:after="0"/>
              <w:rPr>
                <w:sz w:val="15"/>
                <w:szCs w:val="15"/>
                <w:color w:val="auto"/>
              </w:rPr>
            </w:pPr>
          </w:p>
        </w:tc>
      </w:tr>
      <w:tr>
        <w:trPr>
          <w:trHeight w:val="335"/>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432"/>
        </w:trPr>
        <w:tc>
          <w:tcPr>
            <w:tcW w:w="12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85"/>
        </w:trPr>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23.1 %</w:t>
            </w:r>
          </w:p>
        </w:tc>
      </w:tr>
      <w:tr>
        <w:trPr>
          <w:trHeight w:val="164"/>
        </w:trPr>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06"/>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320"/>
        </w:trPr>
        <w:tc>
          <w:tcPr>
            <w:tcW w:w="12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64"/>
        </w:trPr>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06"/>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11"/>
        </w:trPr>
        <w:tc>
          <w:tcPr>
            <w:tcW w:w="12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311"/>
        </w:trPr>
        <w:tc>
          <w:tcPr>
            <w:tcW w:w="12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20"/>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64"/>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(90.1)%</w:t>
            </w:r>
          </w:p>
        </w:tc>
      </w:tr>
      <w:tr>
        <w:trPr>
          <w:trHeight w:val="17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662"/>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310"/>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432"/>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320"/>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2"/>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-3994150</wp:posOffset>
            </wp:positionV>
            <wp:extent cx="7132320" cy="11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-3608070</wp:posOffset>
            </wp:positionV>
            <wp:extent cx="7132320" cy="111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-3376930</wp:posOffset>
            </wp:positionV>
            <wp:extent cx="71323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-3068320</wp:posOffset>
            </wp:positionV>
            <wp:extent cx="713232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-2750820</wp:posOffset>
            </wp:positionV>
            <wp:extent cx="71323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-2356485</wp:posOffset>
            </wp:positionV>
            <wp:extent cx="713232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-1962150</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-1731010</wp:posOffset>
            </wp:positionV>
            <wp:extent cx="713232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-1508125</wp:posOffset>
            </wp:positionV>
            <wp:extent cx="7132320"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-1199515</wp:posOffset>
            </wp:positionV>
            <wp:extent cx="713232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-890905</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-419735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-4388485</wp:posOffset>
            </wp:positionV>
            <wp:extent cx="59575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660" w:space="200"/>
            <w:col w:w="9380"/>
          </w:cols>
          <w:pgMar w:left="320" w:top="121" w:right="339" w:bottom="1440" w:gutter="0" w:footer="0" w:header="0"/>
          <w:type w:val="continuous"/>
        </w:sectPr>
      </w:pPr>
    </w:p>
    <w:p>
      <w:pPr>
        <w:jc w:val="both"/>
        <w:ind w:left="660" w:hanging="652"/>
        <w:spacing w:after="0" w:line="242" w:lineRule="auto"/>
        <w:tabs>
          <w:tab w:leader="none" w:pos="6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revenues and expenses at the corporate level as well as various intercompany costs that are eliminated in consolidation, third-party management fees, provisions for impairment, and changes in the accrued rent receivable allowance. Other/(Eliminations) also includes properties sold and properties classified as held for sale, the parking operations of predevelopment projects, the residential and retail components within University City in Philadelphia, Pennsylvania, the restaurant component of Cira Centre, the B.Labs incubator, remediation costs of insured events..</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Same Store Properties.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for use impairment charges are excluded from Same Store Property Portfolio operating income and presented in Other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Rents increased primarily as a result of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increase related to our Recently Completed/Acquired Properties, which are comprised of 155 King of Prussia Road, Radnor, PA and 250 King of Prussia Road, Radnor, PA; and</w:t>
      </w:r>
    </w:p>
    <w:p>
      <w:pPr>
        <w:ind w:left="660" w:right="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$2.2 million decrease due to the sale of Four Barton Skyway, Austin, TX in the second quarter of 2025 and the sale of Quarry Lake II, Austin, TX in the third quarter of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&amp;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&amp; administrative expenses decreased due to lower stock compensation expenses recognized in the first quarter of 2026 compared to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primarily as a result of the following:</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due to higher utilities cost and operating cost in the first quarter of 2026 compared to 2025;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$0.7 million decrease due to the sale of Four Barton Skyway, Austin, TX in the second quarter of 2025 and the sale of Quarry Lake II, Austin, TX in the third quarter of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primarily due to the consolidation of 3025 JFK Venture and 3151 Market Street Venture in the fourth quarter of 2025 partially offset by a decrease due to the sale of Four Barton Skyway, Austin, TX in the second quarter of 2025 and the sale of Quarry Lake II, Austin, TX in the third quarter of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Impairment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we recognized a provision for impairment of $11.9 million on three properties, two of which are located in the Other segment and one of which is in the Pennsylvania Suburbs segment. There were no impairments recognized in the first quarter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by approximately $9.0 million for the quarter ended March 31, 2026 compared to 2025, as detailed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Component</w:t>
            </w:r>
          </w:p>
        </w:tc>
        <w:tc>
          <w:tcPr>
            <w:tcW w:w="4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8"/>
              </w:rPr>
              <w:t>Change in interest expense for the quarter ended March 31, 2026 compared to March 31, 2025 (in</w:t>
            </w:r>
          </w:p>
        </w:tc>
        <w:tc>
          <w:tcPr>
            <w:tcW w:w="0" w:type="dxa"/>
            <w:vAlign w:val="bottom"/>
          </w:tcPr>
          <w:p>
            <w:pPr>
              <w:spacing w:after="0"/>
              <w:rPr>
                <w:sz w:val="1"/>
                <w:szCs w:val="1"/>
                <w:color w:val="auto"/>
              </w:rPr>
            </w:pPr>
          </w:p>
        </w:tc>
      </w:tr>
      <w:tr>
        <w:trPr>
          <w:trHeight w:val="157"/>
        </w:trPr>
        <w:tc>
          <w:tcPr>
            <w:tcW w:w="6480" w:type="dxa"/>
            <w:vAlign w:val="bottom"/>
            <w:vMerge w:val="continue"/>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3620" w:type="dxa"/>
            <w:vAlign w:val="bottom"/>
            <w:tcBorders>
              <w:bottom w:val="single" w:sz="8" w:color="auto"/>
            </w:tcBorders>
            <w:shd w:val="clear" w:color="auto" w:fill="CCEEFF"/>
          </w:tcPr>
          <w:p>
            <w:pPr>
              <w:jc w:val="right"/>
              <w:ind w:right="2042"/>
              <w:spacing w:after="0"/>
              <w:rPr>
                <w:sz w:val="20"/>
                <w:szCs w:val="20"/>
                <w:color w:val="auto"/>
              </w:rPr>
            </w:pPr>
            <w:r>
              <w:rPr>
                <w:rFonts w:ascii="Times New Roman" w:cs="Times New Roman" w:eastAsia="Times New Roman" w:hAnsi="Times New Roman"/>
                <w:sz w:val="12"/>
                <w:szCs w:val="12"/>
                <w:color w:val="auto"/>
              </w:rPr>
              <w:t>thousands)</w:t>
            </w:r>
          </w:p>
        </w:tc>
        <w:tc>
          <w:tcPr>
            <w:tcW w:w="0" w:type="dxa"/>
            <w:vAlign w:val="bottom"/>
          </w:tcPr>
          <w:p>
            <w:pPr>
              <w:spacing w:after="0"/>
              <w:rPr>
                <w:sz w:val="1"/>
                <w:szCs w:val="1"/>
                <w:color w:val="auto"/>
              </w:rPr>
            </w:pPr>
          </w:p>
        </w:tc>
      </w:tr>
      <w:tr>
        <w:trPr>
          <w:trHeight w:val="135"/>
        </w:trPr>
        <w:tc>
          <w:tcPr>
            <w:tcW w:w="648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Increases to interest expense due to:</w:t>
            </w:r>
          </w:p>
        </w:tc>
        <w:tc>
          <w:tcPr>
            <w:tcW w:w="10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An additional $150 million aggregate principal amount of 8.875% Guaranteed Notes due 2029</w:t>
            </w:r>
          </w:p>
        </w:tc>
        <w:tc>
          <w:tcPr>
            <w:tcW w:w="108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2"/>
                <w:szCs w:val="12"/>
                <w:color w:val="auto"/>
                <w:w w:val="99"/>
              </w:rPr>
              <w:t>$</w:t>
            </w:r>
          </w:p>
        </w:tc>
        <w:tc>
          <w:tcPr>
            <w:tcW w:w="3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2,741</w:t>
            </w:r>
          </w:p>
        </w:tc>
        <w:tc>
          <w:tcPr>
            <w:tcW w:w="0" w:type="dxa"/>
            <w:vAlign w:val="bottom"/>
          </w:tcPr>
          <w:p>
            <w:pPr>
              <w:spacing w:after="0"/>
              <w:rPr>
                <w:sz w:val="1"/>
                <w:szCs w:val="1"/>
                <w:color w:val="auto"/>
              </w:rPr>
            </w:pPr>
          </w:p>
        </w:tc>
      </w:tr>
      <w:tr>
        <w:trPr>
          <w:trHeight w:val="166"/>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Issuance of $300 million aggregate principal amount of our 6.125% Guaranteed Notes due 2031</w:t>
            </w:r>
          </w:p>
        </w:tc>
        <w:tc>
          <w:tcPr>
            <w:tcW w:w="1080" w:type="dxa"/>
            <w:vAlign w:val="bottom"/>
          </w:tcPr>
          <w:p>
            <w:pPr>
              <w:spacing w:after="0"/>
              <w:rPr>
                <w:sz w:val="14"/>
                <w:szCs w:val="14"/>
                <w:color w:val="auto"/>
              </w:rPr>
            </w:pPr>
          </w:p>
        </w:tc>
        <w:tc>
          <w:tcPr>
            <w:tcW w:w="3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4,594</w:t>
            </w:r>
          </w:p>
        </w:tc>
        <w:tc>
          <w:tcPr>
            <w:tcW w:w="0" w:type="dxa"/>
            <w:vAlign w:val="bottom"/>
          </w:tcPr>
          <w:p>
            <w:pPr>
              <w:spacing w:after="0"/>
              <w:rPr>
                <w:sz w:val="1"/>
                <w:szCs w:val="1"/>
                <w:color w:val="auto"/>
              </w:rPr>
            </w:pPr>
          </w:p>
        </w:tc>
      </w:tr>
      <w:tr>
        <w:trPr>
          <w:trHeight w:val="185"/>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$50.5 million Commercial Property Assessed Clean Energy (“C-PACE”)</w:t>
            </w:r>
          </w:p>
        </w:tc>
        <w:tc>
          <w:tcPr>
            <w:tcW w:w="1080" w:type="dxa"/>
            <w:vAlign w:val="bottom"/>
            <w:shd w:val="clear" w:color="auto" w:fill="CCEEFF"/>
          </w:tcPr>
          <w:p>
            <w:pPr>
              <w:spacing w:after="0"/>
              <w:rPr>
                <w:sz w:val="16"/>
                <w:szCs w:val="16"/>
                <w:color w:val="auto"/>
              </w:rPr>
            </w:pPr>
          </w:p>
        </w:tc>
        <w:tc>
          <w:tcPr>
            <w:tcW w:w="3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1,087</w:t>
            </w:r>
          </w:p>
        </w:tc>
        <w:tc>
          <w:tcPr>
            <w:tcW w:w="0" w:type="dxa"/>
            <w:vAlign w:val="bottom"/>
          </w:tcPr>
          <w:p>
            <w:pPr>
              <w:spacing w:after="0"/>
              <w:rPr>
                <w:sz w:val="1"/>
                <w:szCs w:val="1"/>
                <w:color w:val="auto"/>
              </w:rPr>
            </w:pPr>
          </w:p>
        </w:tc>
      </w:tr>
      <w:tr>
        <w:trPr>
          <w:trHeight w:val="156"/>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$178 million Construction Loan acquired through 3025 JFK consolidation</w:t>
            </w:r>
          </w:p>
        </w:tc>
        <w:tc>
          <w:tcPr>
            <w:tcW w:w="1080" w:type="dxa"/>
            <w:vAlign w:val="bottom"/>
          </w:tcPr>
          <w:p>
            <w:pPr>
              <w:spacing w:after="0"/>
              <w:rPr>
                <w:sz w:val="13"/>
                <w:szCs w:val="13"/>
                <w:color w:val="auto"/>
              </w:rPr>
            </w:pPr>
          </w:p>
        </w:tc>
        <w:tc>
          <w:tcPr>
            <w:tcW w:w="3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3,235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Decrease in capitalized interest on 3151 Market Street Venture</w:t>
            </w:r>
          </w:p>
        </w:tc>
        <w:tc>
          <w:tcPr>
            <w:tcW w:w="1080" w:type="dxa"/>
            <w:vAlign w:val="bottom"/>
            <w:tcBorders>
              <w:bottom w:val="single" w:sz="8" w:color="CCEEFF"/>
            </w:tcBorders>
            <w:shd w:val="clear" w:color="auto" w:fill="CCEEFF"/>
          </w:tcPr>
          <w:p>
            <w:pPr>
              <w:spacing w:after="0"/>
              <w:rPr>
                <w:sz w:val="13"/>
                <w:szCs w:val="13"/>
                <w:color w:val="auto"/>
              </w:rPr>
            </w:pPr>
          </w:p>
        </w:tc>
        <w:tc>
          <w:tcPr>
            <w:tcW w:w="3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2,807</w:t>
            </w:r>
          </w:p>
        </w:tc>
        <w:tc>
          <w:tcPr>
            <w:tcW w:w="0" w:type="dxa"/>
            <w:vAlign w:val="bottom"/>
          </w:tcPr>
          <w:p>
            <w:pPr>
              <w:spacing w:after="0"/>
              <w:rPr>
                <w:sz w:val="1"/>
                <w:szCs w:val="1"/>
                <w:color w:val="auto"/>
              </w:rPr>
            </w:pPr>
          </w:p>
        </w:tc>
      </w:tr>
      <w:tr>
        <w:trPr>
          <w:trHeight w:val="155"/>
        </w:trPr>
        <w:tc>
          <w:tcPr>
            <w:tcW w:w="6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increases to interest expense</w:t>
            </w:r>
          </w:p>
        </w:tc>
        <w:tc>
          <w:tcPr>
            <w:tcW w:w="1080" w:type="dxa"/>
            <w:vAlign w:val="bottom"/>
          </w:tcPr>
          <w:p>
            <w:pPr>
              <w:spacing w:after="0"/>
              <w:rPr>
                <w:sz w:val="13"/>
                <w:szCs w:val="13"/>
                <w:color w:val="auto"/>
              </w:rPr>
            </w:pPr>
          </w:p>
        </w:tc>
        <w:tc>
          <w:tcPr>
            <w:tcW w:w="3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14,464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Decreases to interest expense due to:</w:t>
            </w:r>
          </w:p>
        </w:tc>
        <w:tc>
          <w:tcPr>
            <w:tcW w:w="1080" w:type="dxa"/>
            <w:vAlign w:val="bottom"/>
            <w:tcBorders>
              <w:bottom w:val="single" w:sz="8" w:color="CCEEFF"/>
            </w:tcBorders>
            <w:shd w:val="clear" w:color="auto" w:fill="CCEEFF"/>
          </w:tcPr>
          <w:p>
            <w:pPr>
              <w:spacing w:after="0"/>
              <w:rPr>
                <w:sz w:val="13"/>
                <w:szCs w:val="13"/>
                <w:color w:val="auto"/>
              </w:rPr>
            </w:pPr>
          </w:p>
        </w:tc>
        <w:tc>
          <w:tcPr>
            <w:tcW w:w="36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Repayment of $50 million Construction Loan due 2026</w:t>
            </w:r>
          </w:p>
        </w:tc>
        <w:tc>
          <w:tcPr>
            <w:tcW w:w="1080" w:type="dxa"/>
            <w:vAlign w:val="bottom"/>
          </w:tcPr>
          <w:p>
            <w:pPr>
              <w:spacing w:after="0"/>
              <w:rPr>
                <w:sz w:val="14"/>
                <w:szCs w:val="14"/>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0" w:type="dxa"/>
            <w:vAlign w:val="bottom"/>
          </w:tcPr>
          <w:p>
            <w:pPr>
              <w:spacing w:after="0"/>
              <w:rPr>
                <w:sz w:val="1"/>
                <w:szCs w:val="1"/>
                <w:color w:val="auto"/>
              </w:rPr>
            </w:pPr>
          </w:p>
        </w:tc>
      </w:tr>
      <w:tr>
        <w:trPr>
          <w:trHeight w:val="185"/>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Repayment of the $245 million Secured Term Loan due 2028</w:t>
            </w:r>
          </w:p>
        </w:tc>
        <w:tc>
          <w:tcPr>
            <w:tcW w:w="1080" w:type="dxa"/>
            <w:vAlign w:val="bottom"/>
            <w:shd w:val="clear" w:color="auto" w:fill="CCEEFF"/>
          </w:tcPr>
          <w:p>
            <w:pPr>
              <w:spacing w:after="0"/>
              <w:rPr>
                <w:sz w:val="16"/>
                <w:szCs w:val="16"/>
                <w:color w:val="auto"/>
              </w:rPr>
            </w:pP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(3,598)</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2"/>
                <w:szCs w:val="12"/>
                <w:color w:val="auto"/>
              </w:rPr>
              <w:t>Repayment of the $70 million One-Year Term Loan due 2025</w:t>
            </w:r>
          </w:p>
        </w:tc>
        <w:tc>
          <w:tcPr>
            <w:tcW w:w="10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interest expense</w:t>
            </w:r>
          </w:p>
        </w:tc>
        <w:tc>
          <w:tcPr>
            <w:tcW w:w="1080" w:type="dxa"/>
            <w:vAlign w:val="bottom"/>
            <w:shd w:val="clear" w:color="auto" w:fill="CCEEFF"/>
          </w:tcPr>
          <w:p>
            <w:pPr>
              <w:spacing w:after="0"/>
              <w:rPr>
                <w:sz w:val="15"/>
                <w:szCs w:val="15"/>
                <w:color w:val="auto"/>
              </w:rPr>
            </w:pP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0" w:type="dxa"/>
            <w:vAlign w:val="bottom"/>
          </w:tcPr>
          <w:p>
            <w:pPr>
              <w:spacing w:after="0"/>
              <w:rPr>
                <w:sz w:val="1"/>
                <w:szCs w:val="1"/>
                <w:color w:val="auto"/>
              </w:rPr>
            </w:pPr>
          </w:p>
        </w:tc>
      </w:tr>
      <w:tr>
        <w:trPr>
          <w:trHeight w:val="155"/>
        </w:trPr>
        <w:tc>
          <w:tcPr>
            <w:tcW w:w="6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decreases to interest expense</w:t>
            </w:r>
          </w:p>
        </w:tc>
        <w:tc>
          <w:tcPr>
            <w:tcW w:w="1080" w:type="dxa"/>
            <w:vAlign w:val="bottom"/>
          </w:tcPr>
          <w:p>
            <w:pPr>
              <w:spacing w:after="0"/>
              <w:rPr>
                <w:sz w:val="13"/>
                <w:szCs w:val="13"/>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change in interest expense</w:t>
            </w:r>
          </w:p>
        </w:tc>
        <w:tc>
          <w:tcPr>
            <w:tcW w:w="108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2"/>
                <w:szCs w:val="12"/>
                <w:color w:val="auto"/>
                <w:w w:val="99"/>
              </w:rPr>
              <w:t>$</w:t>
            </w:r>
          </w:p>
        </w:tc>
        <w:tc>
          <w:tcPr>
            <w:tcW w:w="3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9,044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liquidity funding needs for the next twelve months are as follows:</w:t>
      </w:r>
    </w:p>
    <w:p>
      <w:pPr>
        <w:spacing w:after="0" w:line="27" w:lineRule="exact"/>
        <w:rPr>
          <w:sz w:val="20"/>
          <w:szCs w:val="20"/>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recurring expenses;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including capital and tenant improvements and leasing costs;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principal repayment obligations;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development and redevelopment costs;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unconsolidated real estate ventures and investment vehicles;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shareholders to maintain our REIT status;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acquisitions of properties, either directly or indirectly through the acquisition of equity interest therein; and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common share repurchases.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satisfy these needs using one or more of the following:</w:t>
      </w:r>
    </w:p>
    <w:p>
      <w:pPr>
        <w:spacing w:after="0" w:line="27" w:lineRule="exact"/>
        <w:rPr>
          <w:sz w:val="20"/>
          <w:szCs w:val="20"/>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from our unconsolidated real estate ventures;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 balances;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under our Unsecured Credit Facility;</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construction loans and long-term unsecured indebtedness;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real estate or contributions of interests in real estate to joint ventures; and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Parent Company equity securities and/or units of the Operating Partnership.</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Parent Company owned a 99.7% interest in the Operating Partnership. The remaining interest of approximately 0.3% pertains to common limited partnership interests owned by non-affiliated investors who contributed property to the Operating Partnership in exchange for their interests. As the sole general partner of the Operating Partnership, the Parent Company has full and complete responsibility for the Operating Partnership’s day-to-day operations and management. The Parent Company’s source of funding for its dividend payments and other obligations is the distributions it receives from the Operating Partnership.</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summarized above, we believe that our liquidity needs will be satisfied through available cash balances and cash flows from operations, financing activities and real estate sales. Rental revenue and other income from operations are our principal sources of cash to pay operating expenses, debt service, recurring capital expenditures and the minimum distributions required to maintain our REIT qualification. We seek to increase cash flows from our properties by maintaining quality standards for our properties that promote high occupancy rates and permit increases in rental rates while reducing tenant turnover and controlling operating expenses. Our revenue also includes third-party fees generated by our property management, leasing, development/redevelopment and construction businesses. We believe that our revenue, together with proceeds from property sales and debt financings, will continue to provide funds for our short-term liquidity needs. However, material changes in our operating or financing activities may adversely affect our net cash flows. With uncertain economic conditions, vacancy rates may increase, effective rental rates on new and renewed leases may decrease and tenant installation costs, including concessions, may increase in most or all of our markets during the remainder of 2026 and possibly beyond. As a result, our revenues and cash flows could be insufficient to cover operating expenses, including increased tenant installation costs, pay debt service or make distributions to shareholders over the short-term. If this situation were to occur, we expect that we would finance cash deficits through borrowings under our Unsecured Credit Facility and other sources of debt and equity financings. In addition, a material adverse change in cash provided by operations could adversely affect our compliance with financial performance covenants under our Unsecured Credit Facility, including unsecured term loans and unsecured notes.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outstanding 7.55% Guaranteed Notes due 2028 (the “2028 Notes”) include an interest rate adjustment provision whereby the interest rate payable on the 2028 Notes is subject to a 25 basis point adjustment if either Moody's Investors Services Inc, and its successors ("Moody's"), or S&amp;P Global Ratings, and its successors ("S&amp;P") downgrades (or subsequently upgrades) its rating assigned to the 2028 Notes. During the third quarter of 2023, Moody’s downgraded our senior unsecured credit rating from Baa3 to Ba1. As a result of the downgrade, the interest rate on the 2028 Notes increased 25 basis points to 7.80% in September 2023. In January 2024, S&amp;P downgraded our senior unsecured credit rating from BBB- to BB+. As a result of the downgrade, the interest rate on the 2028 Notes increased 25 basis points to 8.05% in March 2024. During the second quarter of 2024, Moody's downgraded our senior unsecured credit rating from Ba1 to Ba2. As a result of the downgrade, the interest rate on the 2028 Notes increased 25 basis points to 8.30% in April 2024 due to the coupon adjustment provisions within the 2028 Notes. During the first quarter of 2026, S&amp;P downgraded the Company senior unsecured credit rating from BB+ to BB-. As a result of the downgrade, the interest rate on the 2028 Notes increased 50 basis points to 8.80%, effective September 2026.</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26, 2025, the Company and the Operating Partnership amended its Unsecured Credit Facility to, among other things, amend the restricted payments covenant to permit the Operating Partnership to pay dividends and make distributions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attributable to any period of four consecutive fiscal quarters that ends (i) on any date that occurs after June 30, 2025 and on or prior to March 31, 2026, in an amount not to exceed, in the aggregate, the greater of (a) 100% of FFO attributable to such period or (b) the minimum amount necessary for the Company to maintain its REIT status and (ii) on April 1, 2026 or any date that occurs thereafter, in amount not to exceed, in the aggregate, the greater of (a) 95% of FFO attributable to such period or (ii) the minimum amount necessary for the Company to maintain its REIT status.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all of our debt covenants and requirement obligations.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incur additional debt is dependent upon a number of factors, including our credit ratings, the value of our unencumbered assets, our degree of leverage and borrowing restrictions imposed by our lenders. If one or more rating agencies were to downgrade our unsecured credit rating, our access to the unsecured debt market would be more limited and the interest rate under our Unsecured Credit Facility and unsecured term loan would increase.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of this Form 10-Q, our senior unsecured credit ratings and outlook were as follows: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189"/>
        </w:trPr>
        <w:tc>
          <w:tcPr>
            <w:tcW w:w="6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29"/>
        </w:trPr>
        <w:tc>
          <w:tcPr>
            <w:tcW w:w="6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Moody's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82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our credit ratings are lowered further, our ability to access the public debt markets, our costs of funds, and other terms for new debt issuances could be adversely impacted. Each of the credit ratings agencies reviews its ratings periodically and there is no guarantee our current credit ratings will remain the same.</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Parent Company unconditionally guarantees the Operating Partnership’s unsecured debt obligations, which, as of March 31, 2026, amounted to $2,393.6 million. The Operating Partnership’s secured debt obligations as of March 31, 2026, amounted to $235.3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Parent Company issues equity from time to time, the proceeds of which it contributes to the Operating Partnership in exchange for additional interests in the Operating Partnership, and guarantees debt obligations of the Operating Partnership. The Parent Company’s ability to sell common shares and preferred shares is dependent on, among other things, general market conditions for REITs, market perceptions about the Company as a whole and the current trading price of the Parent Company’s shares. The Parent Company maintains a shelf registration statement that covers the offering and sale of common shares, preferred shares, depositary shares, warrants and unsecured debt securities. Subject to our ongoing compliance with securities laws, and if warranted by market conditions, we may offer and sell equity and debt securities from time to time under the shelf registration statement or in transactions exempt from registration.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11, “Beneficiaries' Equity of the Parent Company,” to our consolidated financial statements for further information related to our share repurchase program. We expect to fund any additional share repurchases with a combination of available cash balances and availability under our Unsecured Credit Facility. The timing and amounts of any repurchases will depend on a variety of factors, including market conditions, regulatory requirements, share prices, capital availability and other factors as determined by our management team. The repurchase program does not require the purchase of any minimum number of shares and may be suspended or discontinued at any time without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$36.2 million of cash and cash equivalents and $535 million of available borrowings under our Unsecured Credit Facility, net of $46.5 million in letters of credit outstanding. Based on the foregoing, as well as cash flows from operations net of dividend requirements, we believe we have sufficient capital to fund our remaining capital requirements on existing development and redevelopment projects and pursue additional attractive investment opportunities. We expect that our primary uses of capital during the remainder of 2026 will be to fund our current development and redevelopment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cash flows is based on the consolidated statement of cash flows and is not meant to be a comprehensive discussion of the changes in our cash flows for the periods presented.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maintained cash and cash equivalents and restricted cash of $66.3 million and $62.3 million, respectively. We report and analyze our cash flows based on operating activities, investing activities, and financing activities. The following table summarizes changes in our cash flows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25"/>
        </w:trPr>
        <w:tc>
          <w:tcPr>
            <w:tcW w:w="1280" w:type="dxa"/>
            <w:vAlign w:val="bottom"/>
            <w:tcBorders>
              <w:top w:val="single" w:sz="8" w:color="0000FF"/>
            </w:tcBorders>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0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Activity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Variance</w:t>
            </w:r>
          </w:p>
        </w:tc>
      </w:tr>
      <w:tr>
        <w:trPr>
          <w:trHeight w:val="223"/>
        </w:trPr>
        <w:tc>
          <w:tcPr>
            <w:tcW w:w="7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30"/>
        </w:trPr>
        <w:tc>
          <w:tcPr>
            <w:tcW w:w="7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74,378</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flows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68,698</w:t>
            </w:r>
          </w:p>
        </w:tc>
      </w:tr>
      <w:tr>
        <w:trPr>
          <w:trHeight w:val="21"/>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 of cash flows is from the leasing of space at our Properties. Our Properties provide a relatively consistent stream of cash flows that provides us with the resources to fund operating expenses, debt service and quarterly dividends.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we expect will enable us to take advantage of our development/redevelopment, leasing, financing, and property management skills and invest in existing buildings that meet our investment criteria for additional capital. During the three months ended March 31, 2026, when compared to the three months ended March 31, 2025, the change in investing cash flows was due to the following activities (in thousands):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(Increase) Decrease</w:t>
            </w:r>
          </w:p>
        </w:tc>
      </w:tr>
      <w:tr>
        <w:trPr>
          <w:trHeight w:val="22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and capitalized interest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Capital improvements/acquisition deposits/leasing costs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3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Unconsolidated real estate venture investments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29"/>
        </w:trPr>
        <w:tc>
          <w:tcPr>
            <w:tcW w:w="9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distributions from unconsolidated real estate ventures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cash used in investing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property-level financing, unsecured and secured credit facilities, senior unsecured notes, and construction loans. From time to time, we may issue common or preferred shares of beneficial interest, or the Operating Partnership may issue common or preferred units of limited partnership interest. During the three months ended March 31, 2026, when compared to the three months ended March 31, 2025, the change in financing cash flows was due to the following activities (in thousands):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(Increase) Decrease</w:t>
            </w:r>
          </w:p>
        </w:tc>
      </w:tr>
      <w:tr>
        <w:trPr>
          <w:trHeight w:val="22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r>
      <w:tr>
        <w:trPr>
          <w:trHeight w:val="23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retirement of common shares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distributions paid</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3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costs paid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9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8"/>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cash provided by financing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Indebtedness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secured and unsecured debt at March 31, 2026 and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March 31, 2026</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7"/>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(dollars in thousands)</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Balance: </w:t>
            </w:r>
            <w:r>
              <w:rPr>
                <w:rFonts w:ascii="Times New Roman" w:cs="Times New Roman" w:eastAsia="Times New Roman" w:hAnsi="Times New Roman"/>
                <w:sz w:val="16"/>
                <w:szCs w:val="16"/>
                <w:color w:val="auto"/>
              </w:rPr>
              <w:t>(a)</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 (b) (c)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2,385,934</w:t>
            </w:r>
          </w:p>
        </w:tc>
        <w:tc>
          <w:tcPr>
            <w:tcW w:w="120" w:type="dxa"/>
            <w:vAlign w:val="bottom"/>
            <w:shd w:val="clear" w:color="auto" w:fill="CFF0FC"/>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2,385,934</w:t>
            </w:r>
          </w:p>
        </w:tc>
      </w:tr>
      <w:tr>
        <w:trPr>
          <w:trHeight w:val="213"/>
        </w:trPr>
        <w:tc>
          <w:tcPr>
            <w:tcW w:w="8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Variable rate (d)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243,014</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178,014</w:t>
            </w:r>
          </w:p>
        </w:tc>
      </w:tr>
      <w:tr>
        <w:trPr>
          <w:trHeight w:val="219"/>
        </w:trPr>
        <w:tc>
          <w:tcPr>
            <w:tcW w:w="8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2,628,948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2,563,948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Percent of Total Debt:</w:t>
            </w: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90.8 %</w:t>
            </w:r>
          </w:p>
        </w:tc>
        <w:tc>
          <w:tcPr>
            <w:tcW w:w="120" w:type="dxa"/>
            <w:vAlign w:val="bottom"/>
            <w:shd w:val="clear" w:color="auto" w:fill="CFF0FC"/>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8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interest rate at period end:</w:t>
            </w: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FF0FC"/>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9"/>
        </w:trPr>
        <w:tc>
          <w:tcPr>
            <w:tcW w:w="8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FF0FC"/>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5"/>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maturity in years: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FF0FC"/>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8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unpaid principal and does not reflect premium/discount or deferred financing costs.</w:t>
      </w:r>
    </w:p>
    <w:p>
      <w:pPr>
        <w:spacing w:after="0" w:line="27" w:lineRule="exact"/>
        <w:rPr>
          <w:rFonts w:ascii="Times New Roman" w:cs="Times New Roman" w:eastAsia="Times New Roman" w:hAnsi="Times New Roman"/>
          <w:sz w:val="14"/>
          <w:szCs w:val="14"/>
          <w:color w:val="auto"/>
        </w:rPr>
      </w:pPr>
    </w:p>
    <w:p>
      <w:pPr>
        <w:ind w:left="660" w:hanging="652"/>
        <w:spacing w:after="0" w:line="261"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$250.0 million unsecured term loan was swapped to a fixed rate. At March 31, 2026, the fixed rate for this instrument was 5.41% and matures on June 30, 2027. The effective date of the swap was January 31, 2023.</w:t>
      </w:r>
    </w:p>
    <w:p>
      <w:pPr>
        <w:ind w:left="660" w:right="20" w:hanging="652"/>
        <w:spacing w:after="0" w:line="254" w:lineRule="auto"/>
        <w:tabs>
          <w:tab w:leader="none" w:pos="6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Indenture IA was swapped to a fixed rate at 5.14% for the period from March 30, 2024 to December 30, 2026 and Trust Preferred I Indenture IB and Trust Preferred II Indenture II were swapped to a fixed rate at 5.24% for the period from January 30, 2024 to January 30, 2027.</w:t>
      </w:r>
    </w:p>
    <w:p>
      <w:pPr>
        <w:jc w:val="both"/>
        <w:ind w:left="660" w:hanging="652"/>
        <w:spacing w:after="0" w:line="270"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consolidated the $178 million construction loan as a result of the recapitalization of 3025 JFK joint venture during the fourth quarter of 2025. The construction loan has a stated interest rate of SOFR + 3.6%. On July 22, 2025, the Company entered into an interest rate cap agreement of 3% on the loan. With the interest rate cap in-place, the maximum interest rate due is 6.60%.</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Scheduled principal payments and related weighted average annual effective interest rates for our debt as of March 31, 2026, were as follows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Weighted Average Interest</w:t>
            </w:r>
          </w:p>
        </w:tc>
      </w:tr>
      <w:tr>
        <w:trPr>
          <w:trHeight w:val="243"/>
        </w:trPr>
        <w:tc>
          <w:tcPr>
            <w:tcW w:w="6660" w:type="dxa"/>
            <w:vAlign w:val="bottom"/>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maturities</w:t>
            </w:r>
          </w:p>
        </w:tc>
        <w:tc>
          <w:tcPr>
            <w:tcW w:w="2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Rate of Maturing Debt</w:t>
            </w:r>
          </w:p>
        </w:tc>
      </w:tr>
      <w:tr>
        <w:trPr>
          <w:trHeight w:val="223"/>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178,014</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435,934</w:t>
            </w:r>
          </w:p>
        </w:tc>
        <w:tc>
          <w:tcPr>
            <w:tcW w:w="12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2,628,948</w:t>
            </w: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Unsecured Debt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Partnership is the issuer of our unsecured notes which are fully and unconditionally guaranteed by the Parent Company. The indenture under which the Operating Partnership issued its unsecured notes contains financial covenants, including: (i) a leverage ratio not to exceed 60%; (ii) a secured debt leverage ratio not to exceed 40%; (iii) a debt service coverage ratio of greater than 1.5 to 1.0; and (iv) an unencumbered asset value of not less than 150% of unsecured debt. The Operating Partnership was in compliance with all covenants as of March 31, 2026.</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charter documents of the Parent Company and Operating Partnership do not limit the amount or form of indebtedness that the Operating Partnership may incur, and its policies on debt incurrence are solely within the discretion of the Parent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Board of Trustees, subject to the financial covenants in the credit agreement for our Unsecured Credit Facility, the indenture for our unsecured notes and in our other credit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maintain its qualification as a REIT, the Parent Company is required to, among other things, pay dividends to its shareholders of at least 90% of its REIT taxable income. See Note 11, “Beneficiaries' Equity of the Parent Company,” to our consolidated financial statements for further information related to our dividends declared for the first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Inflation and Lease Pass-Through Provisions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our leases are structured as base year or triple net leases which provide for reimbursement billings for operating expense pass-through charges, real estate tax and insurance reimbursements on a per square-foot basis, or in some cases, annual reimbursement of operating expenses above certain per square-foot allowances. In addition, as of March 31, 2026, approximately 97% of our leases (as a percentage of the aggregate net rentable square feet of our wholly-owned portfolio) contained annual rent escalations that are either fixed (generally ranging from 2.0% to 3.0% per lease year) or indexed based on a consumer price index or other indices. We believe such lease provisions mitigate adverse impacts of inflation on our earnings from real estate operations. However, recent inflation and higher interest rates have caused an increase in our borrowing costs, including on our variable rate debt, and on our operating expenses that are not subject to the lease pass-through provisions.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increased inflation, resulting in our Same Store Property Portfolio operating margins decreasing to 61.8% for the three months ended March 31, 2026 from 63.2% for the three months ended March 31, 2025, respectively. The expense reimbursement provisions in our leases resulted in Same Store Property Portfolio operating expense recovery rates of 54.0% and 53.9%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customary guarantees for certain development projects of our unconsolidated real estate ventures. See Note 15, “Commitments and Contingencies,” to our Consolidated Financial Statement for further details on payment guarantees provided on behalf of our real estate ventures and refer to our Annual Report on Form 10-K for the year ended December 31, 2025 for a discussion of our contractual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Funds from Operations (“FFO”)</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revised definition of FFO adopted by the Board of Governors of the National Association of Real Estate Investment Trusts (“NAREIT”), we calculate FFO by adjusting net income (loss) attributable to common unit holders (computed in accordance with GAAP) for gains (or losses) from sales of properties, impairment losses on depreciable consolidated real estate, impairment losses on investments in unconsolidated real estate ventures driven by a measurable decrease in the fair value of depreciable real estate held by the unconsolidated real estate ventures, real estate related depreciation and amortization, and after similar adjustments for unconsolidated real estate ventures. Our calculation of FFO includes gains from sale of undepreciated real estate and other assets, considered incidental to our main business, to third parties or unconsolidated real estate ventures. FFO is a non-GAAP financial measure. We believe that the use of FFO combined with the required GAAP presentations, has been beneficial in improving the understanding of operating results of REITs among the investing public and making comparisons of REITs’ operating results more meaningful. We consider FFO to be a useful measure for reviewing comparative operating and financial performance because, by excluding property impairments, gains or losses related to sales of previously depreciated operating real estate assets and real estate depreciation and amortization, FFO can help the investing public compare the operating performance of a company’s real estate between periods or as compared to other companies. Our computation of FFO may not be comparable to FFO reported by other REITs or real estate companies that do not define the term in accordance with the current NAREIT definition or that interpret the current NAREIT definition differently.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net income, as defined by GAAP, to be the most comparable earnings measure to FFO. While FFO and FFO per unit are relevant and widely used measures of operating performance of REITs, FFO does not represent cash flow from operations or net income as defined by GAAP and should not be considered as alternatives to those measures in evaluating our liquidity or operating performance. We believe that to further understand our performance, FFO should be compared with our reported net income/(loss) attributable to common unit holders and considered in addition to cash flows in accordance with GAAP, as presented in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common unitholders to FFO for the three months ended March 31, 2026 and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Three Months Ended March 31,</w:t>
            </w:r>
          </w:p>
        </w:tc>
      </w:tr>
      <w:tr>
        <w:trPr>
          <w:trHeight w:val="223"/>
        </w:trPr>
        <w:tc>
          <w:tcPr>
            <w:tcW w:w="8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169"/>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4"/>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(amounts in thousands, except share</w:t>
            </w:r>
          </w:p>
        </w:tc>
      </w:tr>
      <w:tr>
        <w:trPr>
          <w:trHeight w:val="239"/>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information)</w:t>
            </w:r>
          </w:p>
        </w:tc>
        <w:tc>
          <w:tcPr>
            <w:tcW w:w="1000" w:type="dxa"/>
            <w:vAlign w:val="bottom"/>
          </w:tcPr>
          <w:p>
            <w:pPr>
              <w:spacing w:after="0"/>
              <w:rPr>
                <w:sz w:val="20"/>
                <w:szCs w:val="20"/>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unitholders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allocated to unvested restricted unitholders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on real estate venture transactions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on disposition of real estate</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property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 including acquired intangibles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share of unconsolidated real estate ventures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 share of consolidated real estate ventures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20,409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24,968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from operations allocable to unvested restricted shareholders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available to common share and unit holders (FFO)</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shares/units outstanding — basic (a)</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174,272,331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173,431,077</w:t>
            </w:r>
          </w:p>
        </w:tc>
      </w:tr>
      <w:tr>
        <w:trPr>
          <w:trHeight w:val="23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shares/units outstanding — fully diluted (a)</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180,721,719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178,473,873</w:t>
            </w:r>
          </w:p>
        </w:tc>
      </w:tr>
    </w:tbl>
    <w:p>
      <w:pPr>
        <w:spacing w:after="0" w:line="103"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common shares and partnership units outstanding through the three months ended March 31, 2026 and 2025,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commodity prices and equity prices. In pursuing our business plan, the primary market risk to which we are exposed is interest rate risk. Changes in the general level of interest rates prevailing in the financial markets may affect the spread between our yield on invested assets and cost of funds and, in turn, our ability to make distributions or payments to our shareholders. While we have not experienced any significant credit losses, in the event of a significant rising interest rate environment and/or continued economic slowdown, defaults could increase and result in losses to us which would adversely affect our operating results and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 and Sensitivity Analysis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analysis below presents the sensitivity of the market value of the Operating Partnership’s financial instruments to selected changes in market rates. The range of changes chosen reflects its view of changes which are reasonably possible over a one-year period. Market values are the present value of projected future cash flows based on the market rates chosen.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instruments consist of both fixed and variable rate debt. As of March 31, 2026, our consolidated debt consisted of (i) unsecured notes with an outstanding principal balance of $2,000.0 million, all of which are fixed rate borrowings, (ii) variable rate debt consisting of trust preferred securities that have been swapped to fixed rates with an outstanding principal balance of $78.6 million, (iii) a $600.0 million revolving credit facility with an outstanding balance of $65.0 million , (iv) a secured C-PACE loan for the property at 3151 Market with an outstanding principal balance of $57.3 million that has a fixed interest rate, (v) a construction loan for the property at 3025 JFK with an outstanding balance of $178.0 million that has an interest rate cap and (vi) one unsecured term loan of $250.0 million. The $250.0 million unsecured term loan has been swapped to a fixed rate. All financial instruments were entered into for other than trading purposes and the net market value of these financial instruments is referred to as the net financial position. Changes in interest rates have different impacts on the fixed and variable rate portions of our debt portfolio. A change in interest rates on the fixed portion of the debt portfolio impacts the net financial instrument position, but has no impact on interest incurred or cash flows. A change in interest rates on the variable portion of the debt portfolio impacts the interest incurred and cash flows, but does not impact the net financial instrument position.</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market rates of interest increase by 100 basis points, the fair value of our outstanding secured fixed rate debt would increase by approximately $6.6 million. If market rates of interest decrease by 100 basis points, the fair value of our outstanding secured fixed rate debt would decrease by approximately $8.0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based on prevailing interest rates and credit spreads, the fair value of our unsecured notes was $1,911.8 million. For sensitivity purposes, a 100-basis point change in the third-party pricing equates to a change in the total fair value of our debt of approximately $20.0 million at March 31,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or as the need arises, we use derivative instruments to manage interest rate risk exposures and not for speculative or trading purposes. The total outstanding principal balance of our variable rate debt was approximately $571.6 million as of March 31, 2026. The total fair value of our variable rate debt was approximately $560.5 million at March 31, 2026. For sensitivity purposes, if market rates of interest increase by 100 basis points the fair value of our variable rate debt would decrease by approximately $8.6 million at March 31, 2026. If market rates of interest decrease by 100 basis points the fair value of our outstanding variable rate debt would increase by approximately $9.1 million at March 31, 2026.</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Controls and Procedures (Parent Company)</w:t>
      </w:r>
    </w:p>
    <w:p>
      <w:pPr>
        <w:spacing w:after="0" w:line="119" w:lineRule="exact"/>
        <w:rPr>
          <w:sz w:val="20"/>
          <w:szCs w:val="20"/>
          <w:color w:val="auto"/>
        </w:rPr>
      </w:pPr>
    </w:p>
    <w:p>
      <w:pPr>
        <w:jc w:val="both"/>
        <w:ind w:left="660" w:hanging="652"/>
        <w:spacing w:after="0" w:line="257"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its management, including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the Parent Company conducted an evaluation of its disclosure controls and procedures, as such term is defined under Rule 13a-15(e) promulgated under the Securities Exchange Act of 1934, as amended (the Exchange Act), as of the end of the period covered by this quarterly report. Based on this evaluation, the Parent Company’s principal executive officer and principal financial officer have concluded that the Parent Company’s disclosure controls and procedures are effective as of the end of the period covered by this quarterly report.</w:t>
      </w:r>
    </w:p>
    <w:p>
      <w:pPr>
        <w:spacing w:after="0" w:line="74"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was no change in the Parent Company’s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period covered by this quarterly report that has materially affected, or is reasonably likely to materially affect, the Parent Company’s internal control over financial reporting.</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Controls and Procedures (Operating Partnership)</w:t>
      </w:r>
    </w:p>
    <w:p>
      <w:pPr>
        <w:spacing w:after="0" w:line="119" w:lineRule="exact"/>
        <w:rPr>
          <w:sz w:val="20"/>
          <w:szCs w:val="20"/>
          <w:color w:val="auto"/>
        </w:rPr>
      </w:pPr>
    </w:p>
    <w:p>
      <w:pPr>
        <w:jc w:val="both"/>
        <w:ind w:left="660" w:hanging="652"/>
        <w:spacing w:after="0" w:line="258"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its management, including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the Operating Partnership conducted an evaluation of its disclosure controls and procedures, as such term is defined under Rule 13a-15(e) promulgated under the Exchange Act as of the end of the period covered by this quarterly report. Based on this evaluation, the Operating Partnership’s principal executive officer and principal financial officer have concluded that the Operating Partnership’s disclosure controls and procedures are effective as of the end of the period covered by this quarterly report.</w:t>
      </w:r>
    </w:p>
    <w:p>
      <w:pPr>
        <w:spacing w:after="0" w:line="75"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54"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was no change in the Operating Partnership’s internal control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occurred during the period covered by this quarterly report that has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to the Risk Factors disclosed in “Part I. Item 1A. Risk Factors”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has authorized a share repurchase program under which we may repurchase up to $150.0 million of our outstanding common shares. We may repurchase shares from time to time on the open market or in privately negotiated transactions or otherwise, depending on market prices and other conditions. During the fiscal quarter ended March 31, 2026, we repurchased 700,000 common shares at an average price of $3.10 per share for a total of approximately $2.2 million. As of March 31, 2026, $80.7 million remained available for repurchases under our share repurchase program. For each common share repurchased, one of our units in the Operating Partnership was redeemed. Repurchases of common shares were financed with general corporate funds, including borrowings under our unsecured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repurchases of common shares for the three month period ended March 31, 2026 is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gridSpan w:val="2"/>
            <w:vMerge w:val="restart"/>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560" w:type="dxa"/>
            <w:vAlign w:val="bottom"/>
            <w:gridSpan w:val="3"/>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(or units) that may yet be</w:t>
            </w:r>
          </w:p>
        </w:tc>
        <w:tc>
          <w:tcPr>
            <w:tcW w:w="0" w:type="dxa"/>
            <w:vAlign w:val="bottom"/>
          </w:tcPr>
          <w:p>
            <w:pPr>
              <w:spacing w:after="0"/>
              <w:rPr>
                <w:sz w:val="1"/>
                <w:szCs w:val="1"/>
                <w:color w:val="auto"/>
              </w:rPr>
            </w:pPr>
          </w:p>
        </w:tc>
      </w:tr>
      <w:tr>
        <w:trPr>
          <w:trHeight w:val="113"/>
        </w:trPr>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gridSpan w:val="2"/>
            <w:vMerge w:val="restart"/>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80" w:type="dxa"/>
            <w:vAlign w:val="bottom"/>
          </w:tcPr>
          <w:p>
            <w:pPr>
              <w:spacing w:after="0"/>
              <w:rPr>
                <w:sz w:val="5"/>
                <w:szCs w:val="5"/>
                <w:color w:val="auto"/>
              </w:rPr>
            </w:pP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0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vMerge w:val="restart"/>
          </w:tcPr>
          <w:p>
            <w:pPr>
              <w:jc w:val="center"/>
              <w:ind w:left="3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programs</w:t>
            </w:r>
            <w:r>
              <w:rPr>
                <w:rFonts w:ascii="Times New Roman" w:cs="Times New Roman" w:eastAsia="Times New Roman" w:hAnsi="Times New Roman"/>
                <w:sz w:val="23"/>
                <w:szCs w:val="23"/>
                <w:b w:val="1"/>
                <w:bCs w:val="1"/>
                <w:color w:val="auto"/>
                <w:w w:val="96"/>
                <w:vertAlign w:val="superscript"/>
              </w:rPr>
              <w:t>1</w:t>
            </w: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(or units) purchased</w:t>
            </w:r>
          </w:p>
        </w:tc>
        <w:tc>
          <w:tcPr>
            <w:tcW w:w="180" w:type="dxa"/>
            <w:vAlign w:val="bottom"/>
          </w:tcPr>
          <w:p>
            <w:pPr>
              <w:spacing w:after="0"/>
              <w:rPr>
                <w:sz w:val="21"/>
                <w:szCs w:val="21"/>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January 1, 2026 - January</w:t>
            </w:r>
          </w:p>
        </w:tc>
        <w:tc>
          <w:tcPr>
            <w:tcW w:w="160" w:type="dxa"/>
            <w:vAlign w:val="bottom"/>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31, 2026</w:t>
            </w:r>
          </w:p>
        </w:tc>
        <w:tc>
          <w:tcPr>
            <w:tcW w:w="1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80.7</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February 1, 2026 -</w:t>
            </w:r>
          </w:p>
        </w:tc>
        <w:tc>
          <w:tcPr>
            <w:tcW w:w="2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2026</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80.7</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1, 2026 - March 31,</w:t>
            </w: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CCEEFF"/>
            </w:tcBorders>
            <w:gridSpan w:val="2"/>
          </w:tcPr>
          <w:p>
            <w:pPr>
              <w:ind w:left="1480"/>
              <w:spacing w:after="0"/>
              <w:rPr>
                <w:sz w:val="20"/>
                <w:szCs w:val="20"/>
                <w:color w:val="auto"/>
              </w:rPr>
            </w:pPr>
            <w:r>
              <w:rPr>
                <w:rFonts w:ascii="Times New Roman" w:cs="Times New Roman" w:eastAsia="Times New Roman" w:hAnsi="Times New Roman"/>
                <w:sz w:val="18"/>
                <w:szCs w:val="18"/>
                <w:color w:val="auto"/>
              </w:rPr>
              <w:t>80.7 million</w:t>
            </w:r>
          </w:p>
        </w:tc>
        <w:tc>
          <w:tcPr>
            <w:tcW w:w="0" w:type="dxa"/>
            <w:vAlign w:val="bottom"/>
          </w:tcPr>
          <w:p>
            <w:pPr>
              <w:spacing w:after="0"/>
              <w:rPr>
                <w:sz w:val="1"/>
                <w:szCs w:val="1"/>
                <w:color w:val="auto"/>
              </w:rPr>
            </w:pPr>
          </w:p>
        </w:tc>
      </w:tr>
      <w:tr>
        <w:trPr>
          <w:trHeight w:val="248"/>
        </w:trPr>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4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8"/>
        <w:spacing w:after="0" w:line="235" w:lineRule="auto"/>
        <w:tabs>
          <w:tab w:leader="none" w:pos="115"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shown represents, as of the end of each period, the approximate dollar value of common shares that may yet be purchased under the share repurchase program, which was authorized by our Board of Trustee on January 3, 2019 and authorizes the repurchase of up to $150.0 million of our outstanding common shares. The shares may be purchased, from time-to-time, depending on a variety of factors.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trustees or officers (as defined in Rule 16a-1(f) of the Securities Exchange Act of 1934) adopted, terminated or modified a Rule 10b5-1 trading arrangement or non-Rule 10b5-1 trading arrangement (as such terms are defined in Item 408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p>
      <w:pPr>
        <w:ind w:left="480" w:hanging="454"/>
        <w:spacing w:after="0"/>
        <w:tabs>
          <w:tab w:leader="none" w:pos="4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p>
      <w:pPr>
        <w:ind w:left="64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Exhibits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2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3" w:lineRule="exact"/>
        <w:rPr>
          <w:sz w:val="20"/>
          <w:szCs w:val="20"/>
          <w:color w:val="auto"/>
        </w:rPr>
      </w:pPr>
    </w:p>
    <w:p>
      <w:pPr>
        <w:ind w:left="1460"/>
        <w:spacing w:after="0"/>
        <w:tabs>
          <w:tab w:leader="none" w:pos="19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FF"/>
        </w:rPr>
        <w:t>Form of 2026 Performance-Based Restricted Stock Unit Award Agreement (filed herewith)</w:t>
      </w:r>
      <w:r>
        <w:rPr>
          <w:rFonts w:ascii="Times New Roman" w:cs="Times New Roman" w:eastAsia="Times New Roman" w:hAnsi="Times New Roman"/>
          <w:sz w:val="17"/>
          <w:szCs w:val="17"/>
          <w:color w:val="000000"/>
        </w:rPr>
        <w:t>.</w:t>
      </w:r>
    </w:p>
    <w:p>
      <w:pPr>
        <w:spacing w:after="0" w:line="23" w:lineRule="exact"/>
        <w:rPr>
          <w:sz w:val="20"/>
          <w:szCs w:val="20"/>
          <w:color w:val="auto"/>
        </w:rPr>
      </w:pPr>
    </w:p>
    <w:p>
      <w:pPr>
        <w:ind w:left="1460"/>
        <w:spacing w:after="0"/>
        <w:tabs>
          <w:tab w:leader="none" w:pos="19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FF"/>
        </w:rPr>
        <w:t>Form of 2026 Restricted Stock Unit Award Agreement (with outperformance feature) (filed herewith).</w:t>
      </w:r>
    </w:p>
    <w:p>
      <w:pPr>
        <w:spacing w:after="0" w:line="23" w:lineRule="exact"/>
        <w:rPr>
          <w:sz w:val="20"/>
          <w:szCs w:val="20"/>
          <w:color w:val="auto"/>
        </w:rPr>
      </w:pPr>
    </w:p>
    <w:p>
      <w:pPr>
        <w:ind w:left="1980" w:right="20" w:hanging="512"/>
        <w:spacing w:after="0" w:line="234" w:lineRule="auto"/>
        <w:tabs>
          <w:tab w:leader="none" w:pos="1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80">
        <w:r>
          <w:rPr>
            <w:rFonts w:ascii="Times New Roman" w:cs="Times New Roman" w:eastAsia="Times New Roman" w:hAnsi="Times New Roman"/>
            <w:sz w:val="18"/>
            <w:szCs w:val="18"/>
            <w:u w:val="single" w:color="auto"/>
            <w:color w:val="0000FF"/>
          </w:rPr>
          <w:t>Letter Agreement, dated March 10, 2026, by and between George D. Johnstone and Brandywine Realty Trust (previously filed</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as an Exhibit to the Company’s Form 8-K/A filed on March 13, 2026 and incorporated herein by reference).</w:t>
        </w:r>
      </w:hyperlink>
    </w:p>
    <w:p>
      <w:pPr>
        <w:spacing w:after="0" w:line="10" w:lineRule="exact"/>
        <w:rPr>
          <w:sz w:val="20"/>
          <w:szCs w:val="20"/>
          <w:color w:val="auto"/>
        </w:rPr>
      </w:pPr>
    </w:p>
    <w:p>
      <w:pPr>
        <w:ind w:left="1980" w:right="70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pursuant to 13a-14(a) and 15d-14(a) under the Securities Exchange Act of 1934 (filed herewith).</w:t>
      </w:r>
    </w:p>
    <w:p>
      <w:pPr>
        <w:spacing w:after="0" w:line="10" w:lineRule="exact"/>
        <w:rPr>
          <w:sz w:val="20"/>
          <w:szCs w:val="20"/>
          <w:color w:val="auto"/>
        </w:rPr>
      </w:pPr>
    </w:p>
    <w:p>
      <w:pPr>
        <w:ind w:left="1980" w:right="76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jc w:val="right"/>
        <w:ind w:left="1460" w:right="280"/>
        <w:spacing w:after="0" w:line="237"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0000FF"/>
        </w:rPr>
        <w:t>Certification of the Chief Executive Officer of Brandywine Realty Trust, in its capacity as the general partner of Brandywine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Partnership, L.P.,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jc w:val="right"/>
        <w:ind w:left="1460" w:right="280"/>
        <w:spacing w:after="0" w:line="237"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0000FF"/>
        </w:rPr>
        <w:t>Certification of the Chief Financial Officer of Brandywine Realty Trust, in its capacity as the general partner of Brandywine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Partnership, L.P.,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62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68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120" w:hanging="512"/>
        <w:spacing w:after="0" w:line="226" w:lineRule="auto"/>
        <w:tabs>
          <w:tab w:leader="none" w:pos="19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in its capacity as the general partner of Brandywine Operating Partnership, L.P.,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1980" w:right="120" w:hanging="512"/>
        <w:spacing w:after="0" w:line="226" w:lineRule="auto"/>
        <w:tabs>
          <w:tab w:leader="none" w:pos="19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in its capacity as the general partner of Brandywine Operating Partnership, L.P.,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1980" w:right="280" w:hanging="602"/>
        <w:spacing w:after="0" w:line="229" w:lineRule="auto"/>
        <w:tabs>
          <w:tab w:leader="none" w:pos="19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The following materials from the combined Quarterly Reports on Form 10-Q of Brandywine Realty Trust and Brandywine Operating Partnership, L.P. for the quarter ended March 31, 2026 formatted in iXBRL (Inline eXtensible Business Reporting Language): (i) the Consolidated Balance Sheets, (ii) the Consolidated Statements of Operations, (iii) the Consolidated</w:t>
      </w:r>
    </w:p>
    <w:p>
      <w:pPr>
        <w:ind w:left="1980" w:right="460"/>
        <w:spacing w:after="0" w:line="226" w:lineRule="auto"/>
        <w:rPr>
          <w:sz w:val="20"/>
          <w:szCs w:val="20"/>
          <w:color w:val="auto"/>
        </w:rPr>
      </w:pPr>
      <w:r>
        <w:rPr>
          <w:rFonts w:ascii="Times New Roman" w:cs="Times New Roman" w:eastAsia="Times New Roman" w:hAnsi="Times New Roman"/>
          <w:sz w:val="18"/>
          <w:szCs w:val="18"/>
          <w:color w:val="auto"/>
        </w:rPr>
        <w:t>Statements of Comprehensive Income, (iv) the Consolidated Statement of Equity, (v) the Consolidated Statements of Cash Flows, and (vi) Notes to Consolidated Financial Statements, detailed tagged and filed herewith.</w:t>
      </w:r>
    </w:p>
    <w:p>
      <w:pPr>
        <w:spacing w:after="0" w:line="9" w:lineRule="exact"/>
        <w:rPr>
          <w:sz w:val="20"/>
          <w:szCs w:val="20"/>
          <w:color w:val="auto"/>
        </w:rPr>
      </w:pPr>
    </w:p>
    <w:p>
      <w:pPr>
        <w:ind w:left="1980" w:right="280" w:hanging="478"/>
        <w:spacing w:after="0" w:line="237"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Exhibits 32.1, 32.2, 32.3 and 32.4 are being furnished and shall not be deemed to be “filed” for purposes of Section 18 of the Exchange Act or otherwise subject to the liability of that section, nor shall any of such exhibits be deemed to be incorporated by reference in any filing of Brandywine Realty Trust or Brandywine Operating Partnership, L.P. under the Securities Act of 1933, as amended, or the Exchange Act, except as otherwise stated in such filing.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BRANDYWINE REALTY TRUST</w:t>
      </w:r>
    </w:p>
    <w:p>
      <w:pPr>
        <w:ind w:left="6540"/>
        <w:spacing w:after="0"/>
        <w:rPr>
          <w:sz w:val="20"/>
          <w:szCs w:val="20"/>
          <w:color w:val="auto"/>
        </w:rPr>
      </w:pPr>
      <w:r>
        <w:rPr>
          <w:rFonts w:ascii="Times New Roman" w:cs="Times New Roman" w:eastAsia="Times New Roman" w:hAnsi="Times New Roman"/>
          <w:sz w:val="18"/>
          <w:szCs w:val="18"/>
          <w:color w:val="auto"/>
        </w:rPr>
        <w:t>(Registrant)</w:t>
      </w:r>
    </w:p>
    <w:p>
      <w:pPr>
        <w:spacing w:after="0" w:line="282"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Gerard H. Sweeney,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Thomas E. Wirth, Executive Vice President</w:t>
      </w:r>
    </w:p>
    <w:p>
      <w:pPr>
        <w:ind w:left="704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Daniel Palazzo, Senior Vice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BRANDYWINE OPERATING PARTNERSHIP, L.P.</w:t>
      </w:r>
    </w:p>
    <w:p>
      <w:pPr>
        <w:ind w:left="6540"/>
        <w:spacing w:after="0" w:line="203" w:lineRule="auto"/>
        <w:rPr>
          <w:sz w:val="20"/>
          <w:szCs w:val="20"/>
          <w:color w:val="auto"/>
        </w:rPr>
      </w:pPr>
      <w:r>
        <w:rPr>
          <w:rFonts w:ascii="Times New Roman" w:cs="Times New Roman" w:eastAsia="Times New Roman" w:hAnsi="Times New Roman"/>
          <w:sz w:val="18"/>
          <w:szCs w:val="18"/>
          <w:color w:val="auto"/>
        </w:rPr>
        <w:t>(Registrant)</w:t>
      </w:r>
    </w:p>
    <w:p>
      <w:pPr>
        <w:ind w:left="6540"/>
        <w:spacing w:after="0" w:line="219" w:lineRule="auto"/>
        <w:rPr>
          <w:sz w:val="20"/>
          <w:szCs w:val="20"/>
          <w:color w:val="auto"/>
        </w:rPr>
      </w:pPr>
      <w:r>
        <w:rPr>
          <w:rFonts w:ascii="Times New Roman" w:cs="Times New Roman" w:eastAsia="Times New Roman" w:hAnsi="Times New Roman"/>
          <w:sz w:val="18"/>
          <w:szCs w:val="18"/>
          <w:color w:val="auto"/>
        </w:rPr>
        <w:t>BRANDYWINE REALTY TRUST,</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69"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Gerard H. Sweeney,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Thomas E. Wirth, Executive Vice President</w:t>
      </w:r>
    </w:p>
    <w:p>
      <w:pPr>
        <w:ind w:left="704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May 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Daniel Palazzo, Senior Vice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BRANDYWINE REALTY TRUST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PERFORMANCE-BASED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the Effective Date set forth in the attached Award Certificate (the “</w:t>
      </w: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is made by and between Brandywine Realty Trust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named on the Award Certificate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The Award Certificate is included with and made part of this Agreement. In this Agreement and the Award Certificate, unless the context otherwise requires, words and expressions shall have the meanings given to them in the Brandywine Realty Trust 2023 Long-Term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except as herein defined.</w:t>
      </w:r>
    </w:p>
    <w:p>
      <w:pPr>
        <w:spacing w:after="0" w:line="141" w:lineRule="exact"/>
        <w:rPr>
          <w:sz w:val="20"/>
          <w:szCs w:val="20"/>
          <w:color w:val="auto"/>
        </w:rPr>
      </w:pPr>
    </w:p>
    <w:p>
      <w:pPr>
        <w:ind w:left="1960" w:hanging="656"/>
        <w:spacing w:after="0"/>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following meanings:</w:t>
      </w:r>
    </w:p>
    <w:p>
      <w:pPr>
        <w:jc w:val="both"/>
        <w:ind w:left="660" w:firstLine="644"/>
        <w:spacing w:after="0" w:line="212" w:lineRule="auto"/>
        <w:tabs>
          <w:tab w:leader="none" w:pos="195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Achievement Percentage</w:t>
      </w:r>
      <w:r>
        <w:rPr>
          <w:rFonts w:ascii="Times New Roman" w:cs="Times New Roman" w:eastAsia="Times New Roman" w:hAnsi="Times New Roman"/>
          <w:sz w:val="22"/>
          <w:szCs w:val="22"/>
          <w:color w:val="auto"/>
          <w:highlight w:val="white"/>
        </w:rPr>
        <w:t>” means the “Percentage of Component Earned” specified with respect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“Threshold,” “Target” and “Maximum” levels for each Performance Component, or a percentage determined using linear </w:t>
      </w:r>
      <w:r>
        <w:rPr>
          <w:rFonts w:ascii="Times New Roman" w:cs="Times New Roman" w:eastAsia="Times New Roman" w:hAnsi="Times New Roman"/>
          <w:sz w:val="22"/>
          <w:szCs w:val="22"/>
          <w:color w:val="auto"/>
        </w:rPr>
        <w:t xml:space="preserve">interpolation if actual performance falls between any two specified levels. In the event that actual performance does not meet the “Threshold” level for any Performance Component, the “Achievement Percentage” with respect to such </w:t>
      </w:r>
      <w:r>
        <w:rPr>
          <w:rFonts w:ascii="Times New Roman" w:cs="Times New Roman" w:eastAsia="Times New Roman" w:hAnsi="Times New Roman"/>
          <w:sz w:val="22"/>
          <w:szCs w:val="22"/>
          <w:color w:val="auto"/>
          <w:highlight w:val="white"/>
        </w:rPr>
        <w:t>Performance Component shall be zero.</w:t>
      </w:r>
    </w:p>
    <w:p>
      <w:pPr>
        <w:spacing w:after="0" w:line="154"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has the meaning defined in the Plan, provided that such event is also a “change in control event” as defined in Section 409A of the Code and related regulations.</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Date</w:t>
      </w:r>
      <w:r>
        <w:rPr>
          <w:rFonts w:ascii="Times New Roman" w:cs="Times New Roman" w:eastAsia="Times New Roman" w:hAnsi="Times New Roman"/>
          <w:sz w:val="22"/>
          <w:szCs w:val="22"/>
          <w:color w:val="auto"/>
          <w:highlight w:val="white"/>
        </w:rPr>
        <w:t>” means the date that a Change in Control is consummated.</w:t>
      </w:r>
    </w:p>
    <w:p>
      <w:pPr>
        <w:spacing w:after="0" w:line="179"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CIC Performance Period</w:t>
      </w:r>
      <w:r>
        <w:rPr>
          <w:rFonts w:ascii="Times New Roman" w:cs="Times New Roman" w:eastAsia="Times New Roman" w:hAnsi="Times New Roman"/>
          <w:sz w:val="22"/>
          <w:szCs w:val="22"/>
          <w:color w:val="auto"/>
        </w:rPr>
        <w:t>” means the period beginning on the Effective Date and ending with the Change in Control Date.</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3"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Plan</w:t>
      </w:r>
      <w:r>
        <w:rPr>
          <w:rFonts w:ascii="Times New Roman" w:cs="Times New Roman" w:eastAsia="Times New Roman" w:hAnsi="Times New Roman"/>
          <w:sz w:val="22"/>
          <w:szCs w:val="22"/>
          <w:color w:val="auto"/>
        </w:rPr>
        <w:t>” means the Brandywine Realty Trust Executive Deferred Compensation Plan, as in effect from time to time.</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7" w:lineRule="auto"/>
        <w:tabs>
          <w:tab w:leader="none" w:pos="1956" w:val="left"/>
        </w:tabs>
        <w:numPr>
          <w:ilvl w:val="0"/>
          <w:numId w:val="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Index</w:t>
      </w:r>
      <w:r>
        <w:rPr>
          <w:rFonts w:ascii="Times New Roman" w:cs="Times New Roman" w:eastAsia="Times New Roman" w:hAnsi="Times New Roman"/>
          <w:sz w:val="21"/>
          <w:szCs w:val="21"/>
          <w:color w:val="auto"/>
        </w:rPr>
        <w:t>” means the FTSE NAREIT Equity Office Index (as it may be renamed from time to time) or, in the event such index shall cease to be published, such other index as the Committee shall determine to be comparable thereto. The component members of the Index will be fixed as of the first day of the Performance Period, notwithstanding any subsequent changes to the Index made by the FTSE (or other party composing the Index); provided that companies that cease to be publicly traded during that Performance Period will be deleted from the Index and disregarded.</w:t>
      </w:r>
    </w:p>
    <w:p>
      <w:pPr>
        <w:spacing w:after="0" w:line="153" w:lineRule="exact"/>
        <w:rPr>
          <w:rFonts w:ascii="Times New Roman" w:cs="Times New Roman" w:eastAsia="Times New Roman" w:hAnsi="Times New Roman"/>
          <w:sz w:val="21"/>
          <w:szCs w:val="21"/>
          <w:color w:val="010000"/>
        </w:rPr>
      </w:pPr>
    </w:p>
    <w:p>
      <w:pPr>
        <w:ind w:left="660" w:right="20" w:firstLine="644"/>
        <w:spacing w:after="0" w:line="236" w:lineRule="auto"/>
        <w:tabs>
          <w:tab w:leader="none" w:pos="1951"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Components</w:t>
      </w:r>
      <w:r>
        <w:rPr>
          <w:rFonts w:ascii="Times New Roman" w:cs="Times New Roman" w:eastAsia="Times New Roman" w:hAnsi="Times New Roman"/>
          <w:sz w:val="22"/>
          <w:szCs w:val="22"/>
          <w:color w:val="auto"/>
          <w:highlight w:val="white"/>
        </w:rPr>
        <w:t>” means the performance criteria applicable to the Award, as described on the</w:t>
      </w:r>
      <w:r>
        <w:rPr>
          <w:rFonts w:ascii="Times New Roman" w:cs="Times New Roman" w:eastAsia="Times New Roman" w:hAnsi="Times New Roman"/>
          <w:sz w:val="22"/>
          <w:szCs w:val="22"/>
          <w:color w:val="auto"/>
        </w:rPr>
        <w:t xml:space="preserve"> Award Certificate.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highlight w:val="white"/>
        </w:rPr>
        <w:t>” means the period beginning January 1, 2026 and ending December 31, 2028.</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PRSUs</w:t>
      </w:r>
      <w:r>
        <w:rPr>
          <w:rFonts w:ascii="Times New Roman" w:cs="Times New Roman" w:eastAsia="Times New Roman" w:hAnsi="Times New Roman"/>
          <w:sz w:val="22"/>
          <w:szCs w:val="22"/>
          <w:color w:val="auto"/>
          <w:highlight w:val="white"/>
        </w:rPr>
        <w:t>” means Restricted Stock Units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-3709035</wp:posOffset>
            </wp:positionV>
            <wp:extent cx="6720840"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720840" cy="28257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54" w:name="page55"/>
    <w:bookmarkEnd w:id="54"/>
    <w:p>
      <w:pPr>
        <w:ind w:left="660" w:firstLine="644"/>
        <w:spacing w:after="0" w:line="236" w:lineRule="auto"/>
        <w:tabs>
          <w:tab w:leader="none" w:pos="1944"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Relative Weighting</w:t>
      </w:r>
      <w:r>
        <w:rPr>
          <w:rFonts w:ascii="Times New Roman" w:cs="Times New Roman" w:eastAsia="Times New Roman" w:hAnsi="Times New Roman"/>
          <w:sz w:val="22"/>
          <w:szCs w:val="22"/>
          <w:color w:val="auto"/>
        </w:rPr>
        <w:t>” means, in respect of any Performance Component, the “Relative Weighting” applicable to such Performance Component.</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Retirement Eligible Participant’s separation from service with the Company, other than due to his or her death or at a time that Cause exists.</w:t>
      </w:r>
    </w:p>
    <w:p>
      <w:pPr>
        <w:spacing w:after="0" w:line="150" w:lineRule="exact"/>
        <w:rPr>
          <w:rFonts w:ascii="Times New Roman" w:cs="Times New Roman" w:eastAsia="Times New Roman" w:hAnsi="Times New Roman"/>
          <w:sz w:val="22"/>
          <w:szCs w:val="22"/>
          <w:color w:val="010000"/>
        </w:rPr>
      </w:pPr>
    </w:p>
    <w:p>
      <w:pPr>
        <w:ind w:left="660" w:firstLine="644"/>
        <w:spacing w:after="0" w:line="236" w:lineRule="auto"/>
        <w:tabs>
          <w:tab w:leader="none" w:pos="1944"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Eligible</w:t>
      </w:r>
      <w:r>
        <w:rPr>
          <w:rFonts w:ascii="Times New Roman" w:cs="Times New Roman" w:eastAsia="Times New Roman" w:hAnsi="Times New Roman"/>
          <w:sz w:val="22"/>
          <w:szCs w:val="22"/>
          <w:color w:val="auto"/>
        </w:rPr>
        <w:t>” means Participant has attained at least age fifty-seven (57) and completed at least fifteen (15) years of continuous full-time service with the Company.</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44"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rTSR</w:t>
      </w:r>
      <w:r>
        <w:rPr>
          <w:rFonts w:ascii="Times New Roman" w:cs="Times New Roman" w:eastAsia="Times New Roman" w:hAnsi="Times New Roman"/>
          <w:sz w:val="22"/>
          <w:szCs w:val="22"/>
          <w:color w:val="auto"/>
        </w:rPr>
        <w:t>” means, with respect to any specified period, the Company’s TSR relative to the TSR of the other companies in the Index; provided that, to the extent any company included in the index shall be adjudicated bankrupt or insolvent, such company shall be deemed to have a TSR of -100% during the Performance Period.</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7" w:lineRule="auto"/>
        <w:tabs>
          <w:tab w:leader="none" w:pos="1951" w:val="left"/>
        </w:tabs>
        <w:numPr>
          <w:ilvl w:val="0"/>
          <w:numId w:val="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 Value</w:t>
      </w:r>
      <w:r>
        <w:rPr>
          <w:rFonts w:ascii="Times New Roman" w:cs="Times New Roman" w:eastAsia="Times New Roman" w:hAnsi="Times New Roman"/>
          <w:sz w:val="21"/>
          <w:szCs w:val="21"/>
          <w:color w:val="auto"/>
        </w:rPr>
        <w:t>” means, with respect to the Company or any other member of the Index, the average of the closing prices of one common share on the principal market or quotation system on which those shares are traded for (i) the ten trading days immediately prior to the applicable period (for purposes of determining Share Value at the start of an applicable period); or (ii) the ten consecutive trading days ending with the last day of the applicable period (for purposes of determining Share Value on the last day of the Performance Period or Change in Control Date, as applicable).</w:t>
      </w:r>
    </w:p>
    <w:p>
      <w:pPr>
        <w:spacing w:after="0" w:line="153" w:lineRule="exact"/>
        <w:rPr>
          <w:rFonts w:ascii="Times New Roman" w:cs="Times New Roman" w:eastAsia="Times New Roman" w:hAnsi="Times New Roman"/>
          <w:sz w:val="21"/>
          <w:szCs w:val="21"/>
          <w:color w:val="010000"/>
        </w:rPr>
      </w:pPr>
    </w:p>
    <w:p>
      <w:pPr>
        <w:jc w:val="both"/>
        <w:ind w:left="660" w:firstLine="644"/>
        <w:spacing w:after="0" w:line="225" w:lineRule="auto"/>
        <w:tabs>
          <w:tab w:leader="none" w:pos="1951"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 Amount</w:t>
      </w:r>
      <w:r>
        <w:rPr>
          <w:rFonts w:ascii="Times New Roman" w:cs="Times New Roman" w:eastAsia="Times New Roman" w:hAnsi="Times New Roman"/>
          <w:sz w:val="22"/>
          <w:szCs w:val="22"/>
          <w:color w:val="auto"/>
        </w:rPr>
        <w:t>” means, in respect of the Award, the number of PRSUs listed as the “Target Award Amount” on the Award Certificate, subject to adjustment in accordance with the Plan and this Agreement (including, without limitation, in accordance with Section 5 hereof).</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highlight w:val="white"/>
        </w:rPr>
        <w:t>” means, with respect to the Company or another member of the Index, the quotient of (i)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difference between the Share Value as of the last day of the applicable period and the Share Value at the start of the applicable period, plus any dividends paid during that period (which will each be deemed reinvested on the payment date), divided by (ii) the Share Value at the start of the applicable period.</w:t>
      </w:r>
    </w:p>
    <w:p>
      <w:pPr>
        <w:spacing w:after="0" w:line="13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Performance Period</w:t>
      </w:r>
      <w:r>
        <w:rPr>
          <w:rFonts w:ascii="Times New Roman" w:cs="Times New Roman" w:eastAsia="Times New Roman" w:hAnsi="Times New Roman"/>
          <w:sz w:val="22"/>
          <w:szCs w:val="22"/>
          <w:color w:val="auto"/>
        </w:rPr>
        <w:t>” means the period beginning on the Effective Date and ending December 31,</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2028.</w:t>
      </w:r>
    </w:p>
    <w:p>
      <w:pPr>
        <w:spacing w:after="0" w:line="155" w:lineRule="exact"/>
        <w:rPr>
          <w:sz w:val="20"/>
          <w:szCs w:val="20"/>
          <w:color w:val="auto"/>
        </w:rPr>
      </w:pPr>
    </w:p>
    <w:p>
      <w:pPr>
        <w:jc w:val="both"/>
        <w:ind w:firstLine="1304"/>
        <w:spacing w:after="0" w:line="217"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PRSUs</w:t>
      </w:r>
      <w:r>
        <w:rPr>
          <w:rFonts w:ascii="Times New Roman" w:cs="Times New Roman" w:eastAsia="Times New Roman" w:hAnsi="Times New Roman"/>
          <w:sz w:val="22"/>
          <w:szCs w:val="22"/>
          <w:color w:val="auto"/>
        </w:rPr>
        <w:t>. As of the Effective Date and pursuant to the Plan, the Company hereby grants to Participant this Award of PRSUs, subject to the restrictions and on the terms and conditions set forth in this Agreement and the Plan. Each PRSU, once vested, represents an unfunded, unsecured right of Participant to receive one Share at a specified time, subject to Section 9 of the Award Certificate. The PRSUs will become vested, and Shares will be issued in respect of vested PRSUs, as set forth in the Award Certificate.</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 Designation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Participant shall designate the person(s) as the beneficiary(ies) to whom Participant’s Shares shall be delivered in the event of Participant’s death prior to the delivery of the Shares to him or her. Each beneficiary designation shall be effective only when filed with the Company during Participant’s lifetime.</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beneficiary designation may be changed by a Participant without the consent of any previously designated beneficiary or any other person by the filing of 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5" w:name="page56"/>
    <w:bookmarkEnd w:id="55"/>
    <w:p>
      <w:pPr>
        <w:ind w:left="660"/>
        <w:spacing w:after="0" w:line="236" w:lineRule="auto"/>
        <w:rPr>
          <w:sz w:val="20"/>
          <w:szCs w:val="20"/>
          <w:color w:val="auto"/>
        </w:rPr>
      </w:pPr>
      <w:r>
        <w:rPr>
          <w:rFonts w:ascii="Times New Roman" w:cs="Times New Roman" w:eastAsia="Times New Roman" w:hAnsi="Times New Roman"/>
          <w:sz w:val="22"/>
          <w:szCs w:val="22"/>
          <w:color w:val="auto"/>
        </w:rPr>
        <w:t>new beneficiary designation with the Committee. The filing of a new beneficiary designation shall cancel all beneficiary designations previously filed.</w:t>
      </w:r>
    </w:p>
    <w:p>
      <w:pPr>
        <w:spacing w:after="0" w:line="150" w:lineRule="exact"/>
        <w:rPr>
          <w:sz w:val="20"/>
          <w:szCs w:val="20"/>
          <w:color w:val="auto"/>
        </w:rPr>
      </w:pPr>
    </w:p>
    <w:p>
      <w:pPr>
        <w:jc w:val="both"/>
        <w:ind w:left="660" w:firstLine="644"/>
        <w:spacing w:after="0" w:line="225" w:lineRule="auto"/>
        <w:tabs>
          <w:tab w:leader="none" w:pos="1953"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Participant fails to designate a beneficiary in the manner provided above, or if the beneficiary designated by a Participant predeceases Participant, the Committee shall direct such Participant’s Shares to be delivered to Participant’s surviving spouse or, if Participant has no surviving spouse, then to Participant’s estate.</w:t>
      </w:r>
    </w:p>
    <w:p>
      <w:pPr>
        <w:spacing w:after="0" w:line="153" w:lineRule="exact"/>
        <w:rPr>
          <w:sz w:val="20"/>
          <w:szCs w:val="20"/>
          <w:color w:val="auto"/>
        </w:rPr>
      </w:pPr>
    </w:p>
    <w:p>
      <w:pPr>
        <w:jc w:val="both"/>
        <w:ind w:firstLine="1304"/>
        <w:spacing w:after="0" w:line="215"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to Guardian</w:t>
      </w:r>
      <w:r>
        <w:rPr>
          <w:rFonts w:ascii="Times New Roman" w:cs="Times New Roman" w:eastAsia="Times New Roman" w:hAnsi="Times New Roman"/>
          <w:sz w:val="22"/>
          <w:szCs w:val="22"/>
          <w:color w:val="auto"/>
        </w:rPr>
        <w:t>. If Shares are issuable under this Agreement to a minor, a person declared incompetent, or a person incapable of handling the disposition of property, the Committee may direct the delivery of the Shares to the guardian, legal representative, or person having the care and custody of the minor, incompetent or incapable person. The Committee may require proof of incompetence, minority, incapacity or guardianship as the Committee may deem appropriate prior to the delivery. The delivery shall completely discharge the Committee, the Trustees and the Company from all liability with respect to the Shares delivered.</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This Award includes a dividend equivalent feature. If the Company pays a cash dividend or distribution with respect to its Shares while this Award is outstanding and before the end of the Performance Period, the Target Award Amount will be increased a number of additional PRSUs determined by dividing (i) the total dividend or distribution that would then be payable with respect to a number of Shares equal to the Target Award Amount on the dividend or distribution record date, divided by (ii) the Fair Market Value on the date the dividend or distribution is paid. The additional PRSUs credited under this paragraph will be subject to the same terms and conditions, including the same dividend equivalent feature described in the paragraph and the same vesting and payment terms, as the original PRSUs.</w:t>
      </w:r>
    </w:p>
    <w:p>
      <w:pPr>
        <w:spacing w:after="0" w:line="14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jc w:val="both"/>
        <w:ind w:left="660" w:firstLine="644"/>
        <w:spacing w:after="0" w:line="225" w:lineRule="auto"/>
        <w:tabs>
          <w:tab w:leader="none" w:pos="1953"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Deferrals</w:t>
      </w:r>
      <w:r>
        <w:rPr>
          <w:rFonts w:ascii="Times New Roman" w:cs="Times New Roman" w:eastAsia="Times New Roman" w:hAnsi="Times New Roman"/>
          <w:sz w:val="21"/>
          <w:szCs w:val="21"/>
          <w:color w:val="auto"/>
          <w:highlight w:val="white"/>
        </w:rPr>
        <w:t>. To the extent provided under the Deferred Compensation Plan and timely elected in accordance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with Section 409A of the Code, Participant may elect to defer receipt of Shares hereunder (and dividends payable on those Shares following the date they would otherwise have been issued). In the event of such a deferral, the time for Share issuance and dividend payment will be governed by the Deferred Compensation Plan and not this Agreement.</w:t>
      </w:r>
    </w:p>
    <w:p>
      <w:pPr>
        <w:spacing w:after="0" w:line="150" w:lineRule="exact"/>
        <w:rPr>
          <w:rFonts w:ascii="Times New Roman" w:cs="Times New Roman" w:eastAsia="Times New Roman" w:hAnsi="Times New Roman"/>
          <w:sz w:val="21"/>
          <w:szCs w:val="21"/>
          <w:color w:val="010000"/>
        </w:rPr>
      </w:pPr>
    </w:p>
    <w:p>
      <w:pPr>
        <w:jc w:val="both"/>
        <w:ind w:left="660" w:firstLine="644"/>
        <w:spacing w:after="0" w:line="215" w:lineRule="auto"/>
        <w:tabs>
          <w:tab w:leader="none" w:pos="1951"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Agreement Subject to Plan; Amendment</w:t>
      </w:r>
      <w:r>
        <w:rPr>
          <w:rFonts w:ascii="Times New Roman" w:cs="Times New Roman" w:eastAsia="Times New Roman" w:hAnsi="Times New Roman"/>
          <w:sz w:val="22"/>
          <w:szCs w:val="22"/>
          <w:color w:val="auto"/>
          <w:highlight w:val="white"/>
        </w:rPr>
        <w:t>. By entering into this Agreement, Participant agrees and</w:t>
      </w:r>
      <w:r>
        <w:rPr>
          <w:rFonts w:ascii="Times New Roman" w:cs="Times New Roman" w:eastAsia="Times New Roman" w:hAnsi="Times New Roman"/>
          <w:sz w:val="22"/>
          <w:szCs w:val="22"/>
          <w:color w:val="auto"/>
        </w:rPr>
        <w:t xml:space="preserve"> acknowledges that Participant has received and read a copy of the Plan. This Award is subject to the Plan and the terms and provisions of the Plan are hereby incorporated herein by reference. The terms of the Agreement and the Award Certificate may be amended from time to time by the Committee in its sole discretion in any manner that it deems appropriate; provided, that any such amendment that would materially and adversely affect any right of Participant shall </w:t>
      </w:r>
      <w:r>
        <w:rPr>
          <w:rFonts w:ascii="Times New Roman" w:cs="Times New Roman" w:eastAsia="Times New Roman" w:hAnsi="Times New Roman"/>
          <w:sz w:val="22"/>
          <w:szCs w:val="22"/>
          <w:color w:val="auto"/>
          <w:highlight w:val="white"/>
        </w:rPr>
        <w:t>not to that extent be effective without the consent of Participant.</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3"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Participant is Unsecured General Creditor</w:t>
      </w:r>
      <w:r>
        <w:rPr>
          <w:rFonts w:ascii="Times New Roman" w:cs="Times New Roman" w:eastAsia="Times New Roman" w:hAnsi="Times New Roman"/>
          <w:sz w:val="22"/>
          <w:szCs w:val="22"/>
          <w:color w:val="auto"/>
          <w:highlight w:val="white"/>
        </w:rPr>
        <w:t>. Participant and Participant’s heirs, successors, and assigns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have no legal or equitable rights, interest, or claims in any specific property or assets of the Company. Assets of the </w:t>
      </w:r>
      <w:r>
        <w:rPr>
          <w:rFonts w:ascii="Times New Roman" w:cs="Times New Roman" w:eastAsia="Times New Roman" w:hAnsi="Times New Roman"/>
          <w:sz w:val="22"/>
          <w:szCs w:val="22"/>
          <w:color w:val="auto"/>
        </w:rPr>
        <w:t xml:space="preserve">Company shall not be held under any trust for the benefit of Participant or Participant’s heirs or successors, or held in any way as collateral security for the fulfilling of the obligations of the Company under the Agreement or the Plan. Any and </w:t>
      </w:r>
      <w:r>
        <w:rPr>
          <w:rFonts w:ascii="Times New Roman" w:cs="Times New Roman" w:eastAsia="Times New Roman" w:hAnsi="Times New Roman"/>
          <w:sz w:val="22"/>
          <w:szCs w:val="22"/>
          <w:color w:val="auto"/>
          <w:highlight w:val="white"/>
        </w:rPr>
        <w:t>all of the Company’s assets shall be, and remain, the general unrestricted assets of the Company. The Company’s sole obligation under this Agreement and in respect of the Award shall be merely that of an unfunded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-1668145</wp:posOffset>
            </wp:positionV>
            <wp:extent cx="6720840" cy="556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720840" cy="55689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-570865</wp:posOffset>
            </wp:positionV>
            <wp:extent cx="671195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7119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56" w:name="page57"/>
    <w:bookmarkEnd w:id="56"/>
    <w:p>
      <w:pPr>
        <w:ind w:right="20"/>
        <w:spacing w:after="0" w:line="236" w:lineRule="auto"/>
        <w:rPr>
          <w:sz w:val="20"/>
          <w:szCs w:val="20"/>
          <w:color w:val="auto"/>
        </w:rPr>
      </w:pPr>
      <w:r>
        <w:rPr>
          <w:rFonts w:ascii="Times New Roman" w:cs="Times New Roman" w:eastAsia="Times New Roman" w:hAnsi="Times New Roman"/>
          <w:sz w:val="22"/>
          <w:szCs w:val="22"/>
          <w:color w:val="auto"/>
        </w:rPr>
        <w:t>unsecured promise of the Company to pay Participant in the future, subject to the conditions and provisions of the Agreement and the Plan.</w:t>
      </w:r>
    </w:p>
    <w:p>
      <w:pPr>
        <w:spacing w:after="0" w:line="150" w:lineRule="exact"/>
        <w:rPr>
          <w:sz w:val="20"/>
          <w:szCs w:val="20"/>
          <w:color w:val="auto"/>
        </w:rPr>
      </w:pPr>
    </w:p>
    <w:p>
      <w:pPr>
        <w:jc w:val="both"/>
        <w:ind w:firstLine="644"/>
        <w:spacing w:after="0" w:line="224" w:lineRule="auto"/>
        <w:tabs>
          <w:tab w:leader="none" w:pos="1291"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Transferability; No Assignment</w:t>
      </w:r>
      <w:r>
        <w:rPr>
          <w:rFonts w:ascii="Times New Roman" w:cs="Times New Roman" w:eastAsia="Times New Roman" w:hAnsi="Times New Roman"/>
          <w:sz w:val="21"/>
          <w:szCs w:val="21"/>
          <w:color w:val="auto"/>
          <w:highlight w:val="white"/>
        </w:rPr>
        <w:t>. Neither Participant nor any other Person shall have any right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commute, sell, assign, transfer, pledge, anticipate, mortgage or otherwise encumber, transfer, hypothecate, alienate or </w:t>
      </w:r>
      <w:r>
        <w:rPr>
          <w:rFonts w:ascii="Times New Roman" w:cs="Times New Roman" w:eastAsia="Times New Roman" w:hAnsi="Times New Roman"/>
          <w:sz w:val="21"/>
          <w:szCs w:val="21"/>
          <w:color w:val="auto"/>
        </w:rPr>
        <w:t xml:space="preserve">convey in advance of actual receipt, of the Shares. No part of the PRSUs or the Shares delivered in respect of any vested PRSUs, and/or amounts payable under this Agreement shall, prior to actual settlement or payment, be subject to seizure, </w:t>
      </w:r>
      <w:r>
        <w:rPr>
          <w:rFonts w:ascii="Times New Roman" w:cs="Times New Roman" w:eastAsia="Times New Roman" w:hAnsi="Times New Roman"/>
          <w:sz w:val="21"/>
          <w:szCs w:val="21"/>
          <w:color w:val="auto"/>
          <w:highlight w:val="white"/>
        </w:rPr>
        <w:t>attachment, garnishment or sequestration for the payment of any debts, judgments, alimony or separate maintenance owed by Participant or any other person, be transferable by operation of law in the event of Participant’s or any other person’s bankruptcy or insolvency or be transferable to a spouse as a result of a property settlement or otherwise.</w:t>
      </w:r>
    </w:p>
    <w:p>
      <w:pPr>
        <w:spacing w:after="0" w:line="150" w:lineRule="exact"/>
        <w:rPr>
          <w:rFonts w:ascii="Times New Roman" w:cs="Times New Roman" w:eastAsia="Times New Roman" w:hAnsi="Times New Roman"/>
          <w:sz w:val="21"/>
          <w:szCs w:val="21"/>
          <w:color w:val="010000"/>
        </w:rPr>
      </w:pPr>
    </w:p>
    <w:p>
      <w:pPr>
        <w:jc w:val="both"/>
        <w:ind w:firstLine="644"/>
        <w:spacing w:after="0" w:line="217" w:lineRule="auto"/>
        <w:tabs>
          <w:tab w:leader="none" w:pos="1293"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Neither the Plan nor this Agreement nor Participant’s receipt of this Award (or Shares issued in settlement of the Award) shall impose any obligation on the Company or any Affiliate to continue the employment of Participant. Further, the Company or any Affiliate (as applicable) may at any time terminate the employment or service of such Participant, free from any liability or claim under the Plan or this Agreement, except as otherwise expressly provided herein.</w:t>
      </w:r>
    </w:p>
    <w:p>
      <w:pPr>
        <w:spacing w:after="0" w:line="152" w:lineRule="exact"/>
        <w:rPr>
          <w:rFonts w:ascii="Times New Roman" w:cs="Times New Roman" w:eastAsia="Times New Roman" w:hAnsi="Times New Roman"/>
          <w:sz w:val="22"/>
          <w:szCs w:val="22"/>
          <w:color w:val="010000"/>
        </w:rPr>
      </w:pPr>
    </w:p>
    <w:p>
      <w:pPr>
        <w:jc w:val="both"/>
        <w:ind w:firstLine="644"/>
        <w:spacing w:after="0" w:line="236" w:lineRule="auto"/>
        <w:tabs>
          <w:tab w:leader="none" w:pos="1296"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Shareholder Rights</w:t>
      </w:r>
      <w:r>
        <w:rPr>
          <w:rFonts w:ascii="Times New Roman" w:cs="Times New Roman" w:eastAsia="Times New Roman" w:hAnsi="Times New Roman"/>
          <w:sz w:val="21"/>
          <w:szCs w:val="21"/>
          <w:color w:val="auto"/>
        </w:rPr>
        <w:t>. Subject to Section 5 above, Participant shall have no rights as a shareholder of the Company, no rights to dividends or distributions and no voting rights with respect to the PRSUs or any Shares underlying or issuable in respect of such PRSUs until such Shares are actually issued to and held of record by Participant.</w:t>
      </w:r>
    </w:p>
    <w:p>
      <w:pPr>
        <w:spacing w:after="0" w:line="151" w:lineRule="exact"/>
        <w:rPr>
          <w:rFonts w:ascii="Times New Roman" w:cs="Times New Roman" w:eastAsia="Times New Roman" w:hAnsi="Times New Roman"/>
          <w:sz w:val="21"/>
          <w:szCs w:val="21"/>
          <w:color w:val="010000"/>
        </w:rPr>
      </w:pPr>
    </w:p>
    <w:p>
      <w:pPr>
        <w:ind w:left="1280" w:hanging="636"/>
        <w:spacing w:after="0"/>
        <w:tabs>
          <w:tab w:leader="none" w:pos="1280"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292"/>
        <w:spacing w:after="0" w:line="217" w:lineRule="auto"/>
        <w:tabs>
          <w:tab w:leader="none" w:pos="1932"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Regardless of any action the Company takes with respect to any or all federal, state or local income tax, employment tax or other tax related items with respect to this Award (“</w:t>
      </w:r>
      <w:r>
        <w:rPr>
          <w:rFonts w:ascii="Times New Roman" w:cs="Times New Roman" w:eastAsia="Times New Roman" w:hAnsi="Times New Roman"/>
          <w:sz w:val="22"/>
          <w:szCs w:val="22"/>
          <w:u w:val="single" w:color="auto"/>
          <w:color w:val="auto"/>
        </w:rPr>
        <w:t>Tax Related Items</w:t>
      </w:r>
      <w:r>
        <w:rPr>
          <w:rFonts w:ascii="Times New Roman" w:cs="Times New Roman" w:eastAsia="Times New Roman" w:hAnsi="Times New Roman"/>
          <w:sz w:val="22"/>
          <w:szCs w:val="22"/>
          <w:color w:val="auto"/>
        </w:rPr>
        <w:t>”), Participant acknowledges that he or she retains ultimate liability for all Tax Related Items and that the Company: (A) makes no representations or undertakings regarding any Tax Related Item; and (B) does not commit to structure the terms of this Award or any aspect of the PRSUs to minimize Participant’s liability for Tax Related Items.</w:t>
      </w:r>
    </w:p>
    <w:p>
      <w:pPr>
        <w:spacing w:after="0" w:line="152" w:lineRule="exact"/>
        <w:rPr>
          <w:rFonts w:ascii="Times New Roman" w:cs="Times New Roman" w:eastAsia="Times New Roman" w:hAnsi="Times New Roman"/>
          <w:sz w:val="22"/>
          <w:szCs w:val="22"/>
          <w:color w:val="010000"/>
        </w:rPr>
      </w:pPr>
    </w:p>
    <w:p>
      <w:pPr>
        <w:jc w:val="both"/>
        <w:ind w:firstLine="1292"/>
        <w:spacing w:after="0" w:line="227" w:lineRule="auto"/>
        <w:tabs>
          <w:tab w:leader="none" w:pos="1938" w:val="left"/>
        </w:tabs>
        <w:numPr>
          <w:ilvl w:val="1"/>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Prior to the relevant taxable event, Participant shall pay or make arrangements satisfactory to the Company, in its sole discretion, to satisfy all withholding obligations arising in connection with this Award. In this regard, Participant authorizes the Company, in its sole discretion, to satisfy any withholding obligations arising in connection with this Award by withholding Shares otherwise issuable hereunder. Participant shall pay to the Company any amount required to be withheld in connection with this Award that is not satisfied by the previously described method.</w:t>
      </w:r>
    </w:p>
    <w:p>
      <w:pPr>
        <w:spacing w:after="0" w:line="153" w:lineRule="exact"/>
        <w:rPr>
          <w:rFonts w:ascii="Times New Roman" w:cs="Times New Roman" w:eastAsia="Times New Roman" w:hAnsi="Times New Roman"/>
          <w:sz w:val="21"/>
          <w:szCs w:val="21"/>
          <w:color w:val="010000"/>
        </w:rPr>
      </w:pPr>
    </w:p>
    <w:p>
      <w:pPr>
        <w:jc w:val="both"/>
        <w:ind w:firstLine="644"/>
        <w:spacing w:after="0" w:line="213" w:lineRule="auto"/>
        <w:tabs>
          <w:tab w:leader="none" w:pos="1291"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highlight w:val="white"/>
        </w:rPr>
        <w:t>. In consideration for the grant of this Award, Participant agrees to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subject to (i) any compensation clawback, recoupment or similar policies of the Company that may be in effect from time </w:t>
      </w:r>
      <w:r>
        <w:rPr>
          <w:rFonts w:ascii="Times New Roman" w:cs="Times New Roman" w:eastAsia="Times New Roman" w:hAnsi="Times New Roman"/>
          <w:sz w:val="22"/>
          <w:szCs w:val="22"/>
          <w:color w:val="auto"/>
        </w:rPr>
        <w:t xml:space="preserve">to time, whether adopted before or after the date of this Award (including, without limitation, any clawback policy adopted to comply with the requirements of the Dodd-Frank Wall Street Reform and Consumer Protection Act and any rules or regulations promulgated thereunder), and (ii) such other compensation clawbacks as may be required by </w:t>
      </w:r>
      <w:r>
        <w:rPr>
          <w:rFonts w:ascii="Times New Roman" w:cs="Times New Roman" w:eastAsia="Times New Roman" w:hAnsi="Times New Roman"/>
          <w:sz w:val="22"/>
          <w:szCs w:val="22"/>
          <w:color w:val="auto"/>
          <w:highlight w:val="white"/>
        </w:rPr>
        <w:t>applicable law ((i) and (ii) together, the “</w:t>
      </w:r>
      <w:r>
        <w:rPr>
          <w:rFonts w:ascii="Times New Roman" w:cs="Times New Roman" w:eastAsia="Times New Roman" w:hAnsi="Times New Roman"/>
          <w:sz w:val="22"/>
          <w:szCs w:val="22"/>
          <w:u w:val="single" w:color="auto"/>
          <w:color w:val="auto"/>
          <w:highlight w:val="white"/>
        </w:rPr>
        <w:t>Clawback Provisions</w:t>
      </w:r>
      <w:r>
        <w:rPr>
          <w:rFonts w:ascii="Times New Roman" w:cs="Times New Roman" w:eastAsia="Times New Roman" w:hAnsi="Times New Roman"/>
          <w:sz w:val="22"/>
          <w:szCs w:val="22"/>
          <w:color w:val="auto"/>
          <w:highlight w:val="white"/>
        </w:rPr>
        <w:t>”). Participant acknowledges that the Clawback Provisions are not limited in their application to the Award, or to amounts received in connection with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-5094605</wp:posOffset>
            </wp:positionV>
            <wp:extent cx="6711950"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711950"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-705485</wp:posOffset>
            </wp:positionV>
            <wp:extent cx="6720840" cy="419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72084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395" w:right="339" w:bottom="1440" w:gutter="0" w:footer="0" w:header="0"/>
        </w:sectPr>
      </w:pPr>
    </w:p>
    <w:bookmarkStart w:id="57" w:name="page58"/>
    <w:bookmarkEnd w:id="57"/>
    <w:p>
      <w:pPr>
        <w:jc w:val="both"/>
        <w:ind w:right="20" w:firstLine="644"/>
        <w:spacing w:after="0" w:line="225" w:lineRule="auto"/>
        <w:tabs>
          <w:tab w:leader="none" w:pos="128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Company Policies</w:t>
      </w:r>
      <w:r>
        <w:rPr>
          <w:rFonts w:ascii="Times New Roman" w:cs="Times New Roman" w:eastAsia="Times New Roman" w:hAnsi="Times New Roman"/>
          <w:sz w:val="22"/>
          <w:szCs w:val="22"/>
          <w:color w:val="auto"/>
          <w:highlight w:val="white"/>
        </w:rPr>
        <w:t>. Participant agrees, in consideration for the grant of this Award, to be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any policies of the Company and its Affiliates regarding share ownership, securities trading and hedging or pledging of securities that may be in effect from time to time.</w:t>
      </w:r>
    </w:p>
    <w:p>
      <w:pPr>
        <w:spacing w:after="0" w:line="152" w:lineRule="exact"/>
        <w:rPr>
          <w:rFonts w:ascii="Times New Roman" w:cs="Times New Roman" w:eastAsia="Times New Roman" w:hAnsi="Times New Roman"/>
          <w:sz w:val="22"/>
          <w:szCs w:val="22"/>
          <w:color w:val="010000"/>
        </w:rPr>
      </w:pPr>
    </w:p>
    <w:p>
      <w:pPr>
        <w:jc w:val="both"/>
        <w:ind w:firstLine="644"/>
        <w:spacing w:after="0" w:line="211" w:lineRule="auto"/>
        <w:tabs>
          <w:tab w:leader="none" w:pos="128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The Award is intended to comply with or be exempt from the requirements of Section 409A of the Code and the regulations and guidance promulgated thereunder (“Section 409A”). The Agreement should be administered and interpreted in a manner consistent with that intent. Nonetheless, the Company makes no guaranty regarding the tax treatment of this Award. To the extent any payment under this Award is conditioned on the effectiveness of a release of claims and the period Participant is afforded to consider the release spans two calendar years, payment will be made in the second calendar year. Notwithstanding any contrary provision of the Plan or this Agreement, to the extent provided in Prop. Treas. Reg. § 1.409A-1(b)(4)(ii), Treas. Reg. § 1.409A-2(b)(7)(ii) or any successor provision, the Company may delay the delivery of Shares hereunder if it reasonably determines that such delivery would violate federal securities law or any other applicable law.</w:t>
      </w:r>
    </w:p>
    <w:p>
      <w:pPr>
        <w:spacing w:after="0" w:line="158" w:lineRule="exact"/>
        <w:rPr>
          <w:rFonts w:ascii="Times New Roman" w:cs="Times New Roman" w:eastAsia="Times New Roman" w:hAnsi="Times New Roman"/>
          <w:sz w:val="22"/>
          <w:szCs w:val="22"/>
          <w:color w:val="010000"/>
        </w:rPr>
      </w:pPr>
    </w:p>
    <w:p>
      <w:pPr>
        <w:jc w:val="both"/>
        <w:ind w:firstLine="644"/>
        <w:spacing w:after="0" w:line="215" w:lineRule="auto"/>
        <w:tabs>
          <w:tab w:leader="none" w:pos="129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Affiliate Service</w:t>
      </w:r>
      <w:r>
        <w:rPr>
          <w:rFonts w:ascii="Times New Roman" w:cs="Times New Roman" w:eastAsia="Times New Roman" w:hAnsi="Times New Roman"/>
          <w:sz w:val="22"/>
          <w:szCs w:val="22"/>
          <w:color w:val="auto"/>
        </w:rPr>
        <w:t>. Solely for purposes of the vesting provisions of this Award, service with the Company will be deemed to include service with an Affiliate, but only during the period of such affiliation. Solely for purposes of determining whether Participant is Retirement Eligible, full-time service with an entity acquired by the Company or an Affiliate will be deemed to constitute full-time service with the Company, provided Participant was in active service with the acquired entity at the time of the transaction and has continued in service with the Company without interruption since that time.</w:t>
      </w:r>
    </w:p>
    <w:p>
      <w:pPr>
        <w:spacing w:after="0" w:line="139" w:lineRule="exact"/>
        <w:rPr>
          <w:rFonts w:ascii="Times New Roman" w:cs="Times New Roman" w:eastAsia="Times New Roman" w:hAnsi="Times New Roman"/>
          <w:sz w:val="22"/>
          <w:szCs w:val="22"/>
          <w:color w:val="010000"/>
        </w:rPr>
      </w:pPr>
    </w:p>
    <w:p>
      <w:pPr>
        <w:ind w:left="1280" w:hanging="636"/>
        <w:spacing w:after="0"/>
        <w:tabs>
          <w:tab w:leader="none" w:pos="128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Fractional Shares otherwise issuable hereunder will be rounded down to the nearest</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whole Share.</w:t>
      </w:r>
    </w:p>
    <w:p>
      <w:pPr>
        <w:spacing w:after="0" w:line="155"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8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highlight w:val="white"/>
        </w:rPr>
        <w:t>. This Agreement, together with the Plan and Award Certificate, represent the entire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agreement between the parties with respect to the subject matter hereof and supersede any prior agreement, written or otherwise, relating to the subject matter hereof.</w:t>
      </w:r>
    </w:p>
    <w:p>
      <w:pPr>
        <w:spacing w:after="0" w:line="152"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9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Maryland applicable to contracts made and performed wholly within the State of Maryland, without giving effect to the conflict of law provisions thereof.</w:t>
      </w:r>
    </w:p>
    <w:p>
      <w:pPr>
        <w:spacing w:after="0" w:line="152" w:lineRule="exact"/>
        <w:rPr>
          <w:rFonts w:ascii="Times New Roman" w:cs="Times New Roman" w:eastAsia="Times New Roman" w:hAnsi="Times New Roman"/>
          <w:sz w:val="22"/>
          <w:szCs w:val="22"/>
          <w:color w:val="010000"/>
        </w:rPr>
      </w:pPr>
    </w:p>
    <w:p>
      <w:pPr>
        <w:jc w:val="both"/>
        <w:ind w:firstLine="644"/>
        <w:spacing w:after="0" w:line="211" w:lineRule="auto"/>
        <w:tabs>
          <w:tab w:leader="none" w:pos="129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Participant authorizes the Company and its Affiliates to deliver electronically any prospectuses or other documentation related to this Award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Participant a paper copy of any document also delivered to Participant electronically. The authorization described in this paragraph may be revoked by Participant at any time by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395" w:right="339" w:bottom="1440" w:gutter="0" w:footer="0" w:header="0"/>
        </w:sectPr>
      </w:pPr>
    </w:p>
    <w:bookmarkStart w:id="58" w:name="page59"/>
    <w:bookmarkEnd w:id="58"/>
    <w:p>
      <w:pPr>
        <w:ind w:left="1280" w:hanging="636"/>
        <w:spacing w:after="0"/>
        <w:tabs>
          <w:tab w:leader="none" w:pos="1280"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References</w:t>
      </w:r>
      <w:r>
        <w:rPr>
          <w:rFonts w:ascii="Times New Roman" w:cs="Times New Roman" w:eastAsia="Times New Roman" w:hAnsi="Times New Roman"/>
          <w:sz w:val="22"/>
          <w:szCs w:val="22"/>
          <w:color w:val="auto"/>
        </w:rPr>
        <w:t>. Unless other indicated, section references herein refer to the sections of this</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010000"/>
        </w:rPr>
      </w:pPr>
    </w:p>
    <w:p>
      <w:pPr>
        <w:ind w:left="4900" w:hanging="636"/>
        <w:spacing w:after="0"/>
        <w:tabs>
          <w:tab w:leader="none" w:pos="49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38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BRANDYWINE REALTY TRUST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CERTIFICATE</w:t>
      </w:r>
    </w:p>
    <w:p>
      <w:pPr>
        <w:spacing w:after="0" w:line="182" w:lineRule="exact"/>
        <w:rPr>
          <w:sz w:val="20"/>
          <w:szCs w:val="20"/>
          <w:color w:val="auto"/>
        </w:rPr>
      </w:pPr>
    </w:p>
    <w:p>
      <w:pPr>
        <w:ind w:firstLine="1304"/>
        <w:spacing w:after="0" w:line="236"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Brandywine Realty Trust and Participant hereby agree to the terms of this Award Certificate and the Agreement to which it is attached.</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Participant and Target Award Amount applicable to this Award are set forth below:</w:t>
      </w:r>
    </w:p>
    <w:p>
      <w:pPr>
        <w:spacing w:after="0" w:line="227" w:lineRule="exact"/>
        <w:rPr>
          <w:sz w:val="20"/>
          <w:szCs w:val="20"/>
          <w:color w:val="auto"/>
        </w:rPr>
      </w:pPr>
    </w:p>
    <w:tbl>
      <w:tblPr>
        <w:tblLayout w:type="fixed"/>
        <w:tblInd w:w="1070" w:type="dxa"/>
        <w:tblCellMar>
          <w:top w:w="0" w:type="dxa"/>
          <w:left w:w="0" w:type="dxa"/>
          <w:bottom w:w="0" w:type="dxa"/>
          <w:right w:w="0" w:type="dxa"/>
        </w:tblCellMar>
      </w:tblPr>
      <w:tr>
        <w:trPr>
          <w:trHeight w:val="323"/>
        </w:trPr>
        <w:tc>
          <w:tcPr>
            <w:tcW w:w="3580" w:type="dxa"/>
            <w:vAlign w:val="bottom"/>
            <w:tcBorders>
              <w:top w:val="single" w:sz="8" w:color="auto"/>
              <w:left w:val="single" w:sz="8" w:color="auto"/>
              <w:right w:val="single" w:sz="8" w:color="auto"/>
            </w:tcBorders>
            <w:shd w:val="clear" w:color="auto" w:fill="EEECE1"/>
          </w:tcPr>
          <w:p>
            <w:pPr>
              <w:ind w:left="80"/>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36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___________________</w:t>
            </w:r>
          </w:p>
        </w:tc>
      </w:tr>
      <w:tr>
        <w:trPr>
          <w:trHeight w:val="218"/>
        </w:trPr>
        <w:tc>
          <w:tcPr>
            <w:tcW w:w="3580" w:type="dxa"/>
            <w:vAlign w:val="bottom"/>
            <w:tcBorders>
              <w:left w:val="single" w:sz="8" w:color="auto"/>
              <w:bottom w:val="single" w:sz="8" w:color="auto"/>
              <w:right w:val="single" w:sz="8" w:color="auto"/>
            </w:tcBorders>
            <w:shd w:val="clear" w:color="auto" w:fill="EEECE1"/>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r>
      <w:tr>
        <w:trPr>
          <w:trHeight w:val="303"/>
        </w:trPr>
        <w:tc>
          <w:tcPr>
            <w:tcW w:w="3580" w:type="dxa"/>
            <w:vAlign w:val="bottom"/>
            <w:tcBorders>
              <w:left w:val="single" w:sz="8" w:color="auto"/>
              <w:right w:val="single" w:sz="8" w:color="auto"/>
            </w:tcBorders>
            <w:shd w:val="clear" w:color="auto" w:fill="EEECE1"/>
          </w:tcPr>
          <w:p>
            <w:pPr>
              <w:ind w:left="80"/>
              <w:spacing w:after="0"/>
              <w:rPr>
                <w:sz w:val="20"/>
                <w:szCs w:val="20"/>
                <w:color w:val="auto"/>
              </w:rPr>
            </w:pPr>
            <w:r>
              <w:rPr>
                <w:rFonts w:ascii="Times New Roman" w:cs="Times New Roman" w:eastAsia="Times New Roman" w:hAnsi="Times New Roman"/>
                <w:sz w:val="22"/>
                <w:szCs w:val="22"/>
                <w:b w:val="1"/>
                <w:bCs w:val="1"/>
                <w:color w:val="auto"/>
              </w:rPr>
              <w:t>Effective Date:</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February 27, 2026</w:t>
            </w:r>
          </w:p>
        </w:tc>
      </w:tr>
      <w:tr>
        <w:trPr>
          <w:trHeight w:val="218"/>
        </w:trPr>
        <w:tc>
          <w:tcPr>
            <w:tcW w:w="3580" w:type="dxa"/>
            <w:vAlign w:val="bottom"/>
            <w:tcBorders>
              <w:left w:val="single" w:sz="8" w:color="auto"/>
              <w:bottom w:val="single" w:sz="8" w:color="auto"/>
              <w:right w:val="single" w:sz="8" w:color="auto"/>
            </w:tcBorders>
            <w:shd w:val="clear" w:color="auto" w:fill="EEECE1"/>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r>
      <w:tr>
        <w:trPr>
          <w:trHeight w:val="303"/>
        </w:trPr>
        <w:tc>
          <w:tcPr>
            <w:tcW w:w="3580" w:type="dxa"/>
            <w:vAlign w:val="bottom"/>
            <w:tcBorders>
              <w:left w:val="single" w:sz="8" w:color="auto"/>
              <w:right w:val="single" w:sz="8" w:color="auto"/>
            </w:tcBorders>
            <w:shd w:val="clear" w:color="auto" w:fill="EEECE1"/>
          </w:tcPr>
          <w:p>
            <w:pPr>
              <w:ind w:left="80"/>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______ PRSUs</w:t>
            </w:r>
          </w:p>
        </w:tc>
      </w:tr>
      <w:tr>
        <w:trPr>
          <w:trHeight w:val="218"/>
        </w:trPr>
        <w:tc>
          <w:tcPr>
            <w:tcW w:w="3580" w:type="dxa"/>
            <w:vAlign w:val="bottom"/>
            <w:tcBorders>
              <w:left w:val="single" w:sz="8" w:color="auto"/>
              <w:bottom w:val="single" w:sz="8" w:color="auto"/>
              <w:right w:val="single" w:sz="8" w:color="auto"/>
            </w:tcBorders>
            <w:shd w:val="clear" w:color="auto" w:fill="EEECE1"/>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r>
    </w:tbl>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3.</w:t>
      </w:r>
    </w:p>
    <w:p>
      <w:pPr>
        <w:spacing w:after="0" w:line="1" w:lineRule="exact"/>
        <w:rPr>
          <w:sz w:val="20"/>
          <w:szCs w:val="20"/>
          <w:color w:val="auto"/>
        </w:rPr>
      </w:pPr>
    </w:p>
    <w:p>
      <w:pPr>
        <w:jc w:val="both"/>
        <w:ind w:firstLine="1304"/>
        <w:spacing w:after="0" w:line="214"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Components and Performance Scale for the 2026 calendar year are set forth below. The Performance Components, Relative Weightings and Performance Scale applicable to each of the 2027 and 2028 calendar years will be determined by the Committee, in its sole discretion, and communicated to Participant in writing within three months following the start of the applicable calendar year.</w:t>
      </w:r>
    </w:p>
    <w:p>
      <w:pPr>
        <w:spacing w:after="0" w:line="17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2"/>
          <w:szCs w:val="22"/>
          <w:i w:val="1"/>
          <w:iCs w:val="1"/>
          <w:color w:val="auto"/>
        </w:rPr>
        <w:t>Performance Component #</w:t>
      </w: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Leasing Activity * subject to adjustment based on disposition of properties for which the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includes leasing activity in 2026.</w:t>
      </w:r>
    </w:p>
    <w:p>
      <w:pPr>
        <w:spacing w:after="0"/>
        <w:rPr>
          <w:sz w:val="20"/>
          <w:szCs w:val="20"/>
          <w:color w:val="auto"/>
        </w:rPr>
      </w:pPr>
      <w:r>
        <w:rPr>
          <w:rFonts w:ascii="Times New Roman" w:cs="Times New Roman" w:eastAsia="Times New Roman" w:hAnsi="Times New Roman"/>
          <w:sz w:val="22"/>
          <w:szCs w:val="22"/>
          <w:i w:val="1"/>
          <w:iCs w:val="1"/>
          <w:color w:val="auto"/>
        </w:rPr>
        <w:t>Calendar Year</w:t>
      </w:r>
      <w:r>
        <w:rPr>
          <w:rFonts w:ascii="Times New Roman" w:cs="Times New Roman" w:eastAsia="Times New Roman" w:hAnsi="Times New Roman"/>
          <w:sz w:val="22"/>
          <w:szCs w:val="22"/>
          <w:color w:val="auto"/>
        </w:rPr>
        <w:t>: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Relative Weighting: </w:t>
      </w:r>
      <w:r>
        <w:rPr>
          <w:rFonts w:ascii="Times New Roman" w:cs="Times New Roman" w:eastAsia="Times New Roman" w:hAnsi="Times New Roman"/>
          <w:sz w:val="22"/>
          <w:szCs w:val="22"/>
          <w:color w:val="auto"/>
        </w:rPr>
        <w:t>75%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Scale</w:t>
      </w:r>
      <w:r>
        <w:rPr>
          <w:rFonts w:ascii="Times New Roman" w:cs="Times New Roman" w:eastAsia="Times New Roman" w:hAnsi="Times New Roman"/>
          <w:sz w:val="22"/>
          <w:szCs w:val="22"/>
          <w:color w:val="auto"/>
        </w:rPr>
        <w:t>:</w:t>
      </w:r>
    </w:p>
    <w:p>
      <w:pPr>
        <w:spacing w:after="0" w:line="243" w:lineRule="exact"/>
        <w:rPr>
          <w:sz w:val="20"/>
          <w:szCs w:val="20"/>
          <w:color w:val="auto"/>
        </w:rPr>
      </w:pPr>
    </w:p>
    <w:tbl>
      <w:tblPr>
        <w:tblLayout w:type="fixed"/>
        <w:tblInd w:w="790" w:type="dxa"/>
        <w:tblCellMar>
          <w:top w:w="0" w:type="dxa"/>
          <w:left w:w="0" w:type="dxa"/>
          <w:bottom w:w="0" w:type="dxa"/>
          <w:right w:w="0" w:type="dxa"/>
        </w:tblCellMar>
      </w:tblPr>
      <w:tr>
        <w:trPr>
          <w:trHeight w:val="322"/>
        </w:trPr>
        <w:tc>
          <w:tcPr>
            <w:tcW w:w="6020" w:type="dxa"/>
            <w:vAlign w:val="bottom"/>
            <w:tcBorders>
              <w:top w:val="single" w:sz="8" w:color="auto"/>
              <w:left w:val="single" w:sz="8" w:color="auto"/>
              <w:right w:val="single" w:sz="8" w:color="auto"/>
            </w:tcBorders>
            <w:gridSpan w:val="2"/>
            <w:vMerge w:val="restart"/>
            <w:shd w:val="clear" w:color="auto" w:fill="EEECE1"/>
          </w:tcPr>
          <w:p>
            <w:pPr>
              <w:ind w:left="1300"/>
              <w:spacing w:after="0"/>
              <w:rPr>
                <w:sz w:val="20"/>
                <w:szCs w:val="20"/>
                <w:color w:val="auto"/>
              </w:rPr>
            </w:pPr>
            <w:r>
              <w:rPr>
                <w:rFonts w:ascii="Times New Roman" w:cs="Times New Roman" w:eastAsia="Times New Roman" w:hAnsi="Times New Roman"/>
                <w:sz w:val="22"/>
                <w:szCs w:val="22"/>
                <w:b w:val="1"/>
                <w:bCs w:val="1"/>
                <w:color w:val="auto"/>
              </w:rPr>
              <w:t>2026 Calendar Year Leasing Activity</w:t>
            </w:r>
          </w:p>
        </w:tc>
        <w:tc>
          <w:tcPr>
            <w:tcW w:w="2580" w:type="dxa"/>
            <w:vAlign w:val="bottom"/>
            <w:tcBorders>
              <w:top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Component</w:t>
            </w:r>
          </w:p>
        </w:tc>
        <w:tc>
          <w:tcPr>
            <w:tcW w:w="0" w:type="dxa"/>
            <w:vAlign w:val="bottom"/>
          </w:tcPr>
          <w:p>
            <w:pPr>
              <w:spacing w:after="0"/>
              <w:rPr>
                <w:sz w:val="1"/>
                <w:szCs w:val="1"/>
                <w:color w:val="auto"/>
              </w:rPr>
            </w:pPr>
          </w:p>
        </w:tc>
      </w:tr>
      <w:tr>
        <w:trPr>
          <w:trHeight w:val="149"/>
        </w:trPr>
        <w:tc>
          <w:tcPr>
            <w:tcW w:w="6020" w:type="dxa"/>
            <w:vAlign w:val="bottom"/>
            <w:tcBorders>
              <w:left w:val="single" w:sz="8" w:color="auto"/>
              <w:right w:val="single" w:sz="8" w:color="auto"/>
            </w:tcBorders>
            <w:gridSpan w:val="2"/>
            <w:vMerge w:val="continue"/>
            <w:shd w:val="clear" w:color="auto" w:fill="EEECE1"/>
          </w:tcPr>
          <w:p>
            <w:pPr>
              <w:spacing w:after="0"/>
              <w:rPr>
                <w:sz w:val="12"/>
                <w:szCs w:val="12"/>
                <w:color w:val="auto"/>
              </w:rPr>
            </w:pPr>
          </w:p>
        </w:tc>
        <w:tc>
          <w:tcPr>
            <w:tcW w:w="2580" w:type="dxa"/>
            <w:vAlign w:val="bottom"/>
            <w:tcBorders>
              <w:right w:val="single" w:sz="8" w:color="auto"/>
            </w:tcBorders>
            <w:vMerge w:val="restart"/>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rPr>
              <w:t>Earned</w:t>
            </w:r>
          </w:p>
        </w:tc>
        <w:tc>
          <w:tcPr>
            <w:tcW w:w="0" w:type="dxa"/>
            <w:vAlign w:val="bottom"/>
          </w:tcPr>
          <w:p>
            <w:pPr>
              <w:spacing w:after="0"/>
              <w:rPr>
                <w:sz w:val="1"/>
                <w:szCs w:val="1"/>
                <w:color w:val="auto"/>
              </w:rPr>
            </w:pPr>
          </w:p>
        </w:tc>
      </w:tr>
      <w:tr>
        <w:trPr>
          <w:trHeight w:val="177"/>
        </w:trPr>
        <w:tc>
          <w:tcPr>
            <w:tcW w:w="2900" w:type="dxa"/>
            <w:vAlign w:val="bottom"/>
            <w:tcBorders>
              <w:left w:val="single" w:sz="8" w:color="auto"/>
              <w:bottom w:val="single" w:sz="8" w:color="EEECE1"/>
              <w:right w:val="single" w:sz="8" w:color="EEECE1"/>
            </w:tcBorders>
            <w:shd w:val="clear" w:color="auto" w:fill="EEECE1"/>
          </w:tcPr>
          <w:p>
            <w:pPr>
              <w:spacing w:after="0"/>
              <w:rPr>
                <w:sz w:val="15"/>
                <w:szCs w:val="15"/>
                <w:color w:val="auto"/>
              </w:rPr>
            </w:pPr>
          </w:p>
        </w:tc>
        <w:tc>
          <w:tcPr>
            <w:tcW w:w="3120" w:type="dxa"/>
            <w:vAlign w:val="bottom"/>
            <w:tcBorders>
              <w:bottom w:val="single" w:sz="8" w:color="EEECE1"/>
              <w:right w:val="single" w:sz="8" w:color="auto"/>
            </w:tcBorders>
            <w:shd w:val="clear" w:color="auto" w:fill="EEECE1"/>
          </w:tcPr>
          <w:p>
            <w:pPr>
              <w:spacing w:after="0"/>
              <w:rPr>
                <w:sz w:val="15"/>
                <w:szCs w:val="15"/>
                <w:color w:val="auto"/>
              </w:rPr>
            </w:pPr>
          </w:p>
        </w:tc>
        <w:tc>
          <w:tcPr>
            <w:tcW w:w="2580" w:type="dxa"/>
            <w:vAlign w:val="bottom"/>
            <w:tcBorders>
              <w:bottom w:val="single" w:sz="8" w:color="EEECE1"/>
              <w:right w:val="single" w:sz="8" w:color="auto"/>
            </w:tcBorders>
            <w:vMerge w:val="continue"/>
            <w:shd w:val="clear" w:color="auto" w:fill="EEECE1"/>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800,000 Square Feet</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800,000 Square Feet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900,000 Square Feet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Greater than 1,000,000 Square Feet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left="980" w:hanging="324"/>
        <w:spacing w:after="0" w:line="256" w:lineRule="auto"/>
        <w:tabs>
          <w:tab w:leader="none" w:pos="97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Leasing Activity</w:t>
      </w:r>
      <w:r>
        <w:rPr>
          <w:rFonts w:ascii="Times New Roman" w:cs="Times New Roman" w:eastAsia="Times New Roman" w:hAnsi="Times New Roman"/>
          <w:sz w:val="22"/>
          <w:szCs w:val="22"/>
          <w:color w:val="auto"/>
        </w:rPr>
        <w:t>” means, with respect to a calendar year during the Performance Period, the square footage leased as a result of new leases, expansion leases and renewed leases executed by the Company and its Subsidiaries, contributing to the Company’s Speculative Revenue target, as reported in (or otherwise calculated in a manner consistent with) the Company’s Supplemental Information Package for the calendar year.</w:t>
      </w:r>
    </w:p>
    <w:p>
      <w:pPr>
        <w:sectPr>
          <w:pgSz w:w="11900" w:h="16838" w:orient="portrait"/>
          <w:cols w:equalWidth="0" w:num="1">
            <w:col w:w="11240"/>
          </w:cols>
          <w:pgMar w:left="320" w:top="14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i w:val="1"/>
          <w:iCs w:val="1"/>
          <w:color w:val="auto"/>
        </w:rPr>
        <w:t xml:space="preserve">Performance Component #2: </w:t>
      </w:r>
      <w:r>
        <w:rPr>
          <w:rFonts w:ascii="Times New Roman" w:cs="Times New Roman" w:eastAsia="Times New Roman" w:hAnsi="Times New Roman"/>
          <w:sz w:val="22"/>
          <w:szCs w:val="22"/>
          <w:color w:val="auto"/>
        </w:rPr>
        <w:t>SSNOI Growth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Calendar Year: </w:t>
      </w:r>
      <w:r>
        <w:rPr>
          <w:rFonts w:ascii="Times New Roman" w:cs="Times New Roman" w:eastAsia="Times New Roman" w:hAnsi="Times New Roman"/>
          <w:sz w:val="22"/>
          <w:szCs w:val="22"/>
          <w:color w:val="auto"/>
        </w:rPr>
        <w:t>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Relative Weighting: </w:t>
      </w:r>
      <w:r>
        <w:rPr>
          <w:rFonts w:ascii="Times New Roman" w:cs="Times New Roman" w:eastAsia="Times New Roman" w:hAnsi="Times New Roman"/>
          <w:sz w:val="22"/>
          <w:szCs w:val="22"/>
          <w:color w:val="auto"/>
        </w:rPr>
        <w:t>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Scale</w:t>
      </w:r>
      <w:r>
        <w:rPr>
          <w:rFonts w:ascii="Times New Roman" w:cs="Times New Roman" w:eastAsia="Times New Roman" w:hAnsi="Times New Roman"/>
          <w:sz w:val="22"/>
          <w:szCs w:val="22"/>
          <w:color w:val="auto"/>
        </w:rPr>
        <w:t>:</w:t>
      </w:r>
    </w:p>
    <w:p>
      <w:pPr>
        <w:spacing w:after="0" w:line="255" w:lineRule="exact"/>
        <w:rPr>
          <w:sz w:val="20"/>
          <w:szCs w:val="20"/>
          <w:color w:val="auto"/>
        </w:rPr>
      </w:pPr>
    </w:p>
    <w:tbl>
      <w:tblPr>
        <w:tblLayout w:type="fixed"/>
        <w:tblInd w:w="790" w:type="dxa"/>
        <w:tblCellMar>
          <w:top w:w="0" w:type="dxa"/>
          <w:left w:w="0" w:type="dxa"/>
          <w:bottom w:w="0" w:type="dxa"/>
          <w:right w:w="0" w:type="dxa"/>
        </w:tblCellMar>
      </w:tblPr>
      <w:tr>
        <w:trPr>
          <w:trHeight w:val="320"/>
        </w:trPr>
        <w:tc>
          <w:tcPr>
            <w:tcW w:w="6020" w:type="dxa"/>
            <w:vAlign w:val="bottom"/>
            <w:tcBorders>
              <w:top w:val="single" w:sz="8" w:color="auto"/>
              <w:left w:val="single" w:sz="8" w:color="auto"/>
              <w:right w:val="single" w:sz="8" w:color="auto"/>
            </w:tcBorders>
            <w:gridSpan w:val="2"/>
            <w:vMerge w:val="restart"/>
            <w:shd w:val="clear" w:color="auto" w:fill="EEECE1"/>
          </w:tcPr>
          <w:p>
            <w:pPr>
              <w:ind w:left="1340"/>
              <w:spacing w:after="0"/>
              <w:rPr>
                <w:sz w:val="20"/>
                <w:szCs w:val="20"/>
                <w:color w:val="auto"/>
              </w:rPr>
            </w:pPr>
            <w:r>
              <w:rPr>
                <w:rFonts w:ascii="Times New Roman" w:cs="Times New Roman" w:eastAsia="Times New Roman" w:hAnsi="Times New Roman"/>
                <w:sz w:val="22"/>
                <w:szCs w:val="22"/>
                <w:b w:val="1"/>
                <w:bCs w:val="1"/>
                <w:color w:val="auto"/>
              </w:rPr>
              <w:t>2026 Calendar Year SSNOI Growth</w:t>
            </w:r>
          </w:p>
        </w:tc>
        <w:tc>
          <w:tcPr>
            <w:tcW w:w="2580" w:type="dxa"/>
            <w:vAlign w:val="bottom"/>
            <w:tcBorders>
              <w:top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Component</w:t>
            </w:r>
          </w:p>
        </w:tc>
        <w:tc>
          <w:tcPr>
            <w:tcW w:w="0" w:type="dxa"/>
            <w:vAlign w:val="bottom"/>
          </w:tcPr>
          <w:p>
            <w:pPr>
              <w:spacing w:after="0"/>
              <w:rPr>
                <w:sz w:val="1"/>
                <w:szCs w:val="1"/>
                <w:color w:val="auto"/>
              </w:rPr>
            </w:pPr>
          </w:p>
        </w:tc>
      </w:tr>
      <w:tr>
        <w:trPr>
          <w:trHeight w:val="151"/>
        </w:trPr>
        <w:tc>
          <w:tcPr>
            <w:tcW w:w="6020" w:type="dxa"/>
            <w:vAlign w:val="bottom"/>
            <w:tcBorders>
              <w:left w:val="single" w:sz="8" w:color="auto"/>
              <w:right w:val="single" w:sz="8" w:color="auto"/>
            </w:tcBorders>
            <w:gridSpan w:val="2"/>
            <w:vMerge w:val="continue"/>
            <w:shd w:val="clear" w:color="auto" w:fill="EEECE1"/>
          </w:tcPr>
          <w:p>
            <w:pPr>
              <w:spacing w:after="0"/>
              <w:rPr>
                <w:sz w:val="13"/>
                <w:szCs w:val="13"/>
                <w:color w:val="auto"/>
              </w:rPr>
            </w:pPr>
          </w:p>
        </w:tc>
        <w:tc>
          <w:tcPr>
            <w:tcW w:w="2580" w:type="dxa"/>
            <w:vAlign w:val="bottom"/>
            <w:tcBorders>
              <w:right w:val="single" w:sz="8" w:color="auto"/>
            </w:tcBorders>
            <w:vMerge w:val="restart"/>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rPr>
              <w:t>Earned</w:t>
            </w:r>
          </w:p>
        </w:tc>
        <w:tc>
          <w:tcPr>
            <w:tcW w:w="0" w:type="dxa"/>
            <w:vAlign w:val="bottom"/>
          </w:tcPr>
          <w:p>
            <w:pPr>
              <w:spacing w:after="0"/>
              <w:rPr>
                <w:sz w:val="1"/>
                <w:szCs w:val="1"/>
                <w:color w:val="auto"/>
              </w:rPr>
            </w:pPr>
          </w:p>
        </w:tc>
      </w:tr>
      <w:tr>
        <w:trPr>
          <w:trHeight w:val="177"/>
        </w:trPr>
        <w:tc>
          <w:tcPr>
            <w:tcW w:w="2900" w:type="dxa"/>
            <w:vAlign w:val="bottom"/>
            <w:tcBorders>
              <w:left w:val="single" w:sz="8" w:color="auto"/>
              <w:bottom w:val="single" w:sz="8" w:color="EEECE1"/>
              <w:right w:val="single" w:sz="8" w:color="EEECE1"/>
            </w:tcBorders>
            <w:shd w:val="clear" w:color="auto" w:fill="EEECE1"/>
          </w:tcPr>
          <w:p>
            <w:pPr>
              <w:spacing w:after="0"/>
              <w:rPr>
                <w:sz w:val="15"/>
                <w:szCs w:val="15"/>
                <w:color w:val="auto"/>
              </w:rPr>
            </w:pPr>
          </w:p>
        </w:tc>
        <w:tc>
          <w:tcPr>
            <w:tcW w:w="3120" w:type="dxa"/>
            <w:vAlign w:val="bottom"/>
            <w:tcBorders>
              <w:bottom w:val="single" w:sz="8" w:color="EEECE1"/>
              <w:right w:val="single" w:sz="8" w:color="auto"/>
            </w:tcBorders>
            <w:shd w:val="clear" w:color="auto" w:fill="EEECE1"/>
          </w:tcPr>
          <w:p>
            <w:pPr>
              <w:spacing w:after="0"/>
              <w:rPr>
                <w:sz w:val="15"/>
                <w:szCs w:val="15"/>
                <w:color w:val="auto"/>
              </w:rPr>
            </w:pPr>
          </w:p>
        </w:tc>
        <w:tc>
          <w:tcPr>
            <w:tcW w:w="2580" w:type="dxa"/>
            <w:vAlign w:val="bottom"/>
            <w:tcBorders>
              <w:bottom w:val="single" w:sz="8" w:color="EEECE1"/>
              <w:right w:val="single" w:sz="8" w:color="auto"/>
            </w:tcBorders>
            <w:vMerge w:val="continue"/>
            <w:shd w:val="clear" w:color="auto" w:fill="EEECE1"/>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312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rPr>
              <w:t>Less than -2.0%</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980" w:hanging="324"/>
        <w:spacing w:after="0" w:line="284" w:lineRule="auto"/>
        <w:tabs>
          <w:tab w:leader="none" w:pos="97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SSNOI Growth</w:t>
      </w:r>
      <w:r>
        <w:rPr>
          <w:rFonts w:ascii="Times New Roman" w:cs="Times New Roman" w:eastAsia="Times New Roman" w:hAnsi="Times New Roman"/>
          <w:sz w:val="22"/>
          <w:szCs w:val="22"/>
          <w:color w:val="auto"/>
        </w:rPr>
        <w:t>” means GAAP Same Store NOI Growth, as reported in (or otherwise calculated in a manner consistent with) the Company’s Supplemental Information Package for the calendar year.</w:t>
      </w:r>
    </w:p>
    <w:p>
      <w:pPr>
        <w:spacing w:after="0" w:line="117" w:lineRule="exact"/>
        <w:rPr>
          <w:sz w:val="20"/>
          <w:szCs w:val="20"/>
          <w:color w:val="auto"/>
        </w:rPr>
      </w:pPr>
    </w:p>
    <w:p>
      <w:pPr>
        <w:ind w:left="1960" w:hanging="656"/>
        <w:spacing w:after="0"/>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PRSUs</w:t>
      </w:r>
      <w:r>
        <w:rPr>
          <w:rFonts w:ascii="Times New Roman" w:cs="Times New Roman" w:eastAsia="Times New Roman" w:hAnsi="Times New Roman"/>
          <w:sz w:val="22"/>
          <w:szCs w:val="22"/>
          <w:color w:val="auto"/>
          <w:highlight w:val="white"/>
        </w:rPr>
        <w:t>.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Sections 5 and 6</w:t>
      </w:r>
      <w:r>
        <w:rPr>
          <w:rFonts w:ascii="Times New Roman" w:cs="Times New Roman" w:eastAsia="Times New Roman" w:hAnsi="Times New Roman"/>
          <w:sz w:val="22"/>
          <w:szCs w:val="22"/>
          <w:color w:val="auto"/>
        </w:rPr>
        <w:t xml:space="preserve"> of this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-142875</wp:posOffset>
            </wp:positionV>
            <wp:extent cx="143129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31290" cy="146050"/>
                    </a:xfrm>
                    <a:prstGeom prst="rect">
                      <a:avLst/>
                    </a:prstGeom>
                    <a:noFill/>
                  </pic:spPr>
                </pic:pic>
              </a:graphicData>
            </a:graphic>
          </wp:anchor>
        </w:drawing>
      </w:r>
    </w:p>
    <w:p>
      <w:pPr>
        <w:spacing w:after="0" w:line="159" w:lineRule="exact"/>
        <w:rPr>
          <w:sz w:val="20"/>
          <w:szCs w:val="20"/>
          <w:color w:val="auto"/>
        </w:rPr>
      </w:pPr>
    </w:p>
    <w:p>
      <w:pPr>
        <w:jc w:val="both"/>
        <w:ind w:left="660" w:firstLine="644"/>
        <w:spacing w:after="0" w:line="220" w:lineRule="auto"/>
        <w:tabs>
          <w:tab w:leader="none" w:pos="1953"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each calendar year during the Performance Period, the total number of PRSUs earned with respect to each Performance Component shall be equal to the product of (i) one-third of the Target Award Amount, multiplied by (ii) the Relative Weighting for such Performance Component, multiplied by (iii) the Achievement Percentage for such Performance Component.</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total number of PRSUs earned for the Performance Period will be the sum of the number of PRSUs earned with respect to each Performance Component for each calendar year during the Performance Period, subject to the adjustment in accordance with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of this Award Certificate.</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3"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end of the Performance Period, the total number of PRSUs earned hereunder (the “</w:t>
      </w:r>
      <w:r>
        <w:rPr>
          <w:rFonts w:ascii="Times New Roman" w:cs="Times New Roman" w:eastAsia="Times New Roman" w:hAnsi="Times New Roman"/>
          <w:sz w:val="22"/>
          <w:szCs w:val="22"/>
          <w:u w:val="single" w:color="auto"/>
          <w:color w:val="auto"/>
        </w:rPr>
        <w:t>Earned PRSUs</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will be adjusted upward or downward by the percentage specified in the table below, based on the Company’s rTSR percentile ranking for the TSR Performance Period (“</w:t>
      </w:r>
      <w:r>
        <w:rPr>
          <w:rFonts w:ascii="Times New Roman" w:cs="Times New Roman" w:eastAsia="Times New Roman" w:hAnsi="Times New Roman"/>
          <w:sz w:val="22"/>
          <w:szCs w:val="22"/>
          <w:u w:val="single" w:color="auto"/>
          <w:color w:val="auto"/>
          <w:highlight w:val="white"/>
        </w:rPr>
        <w:t>rTSR Modifier</w:t>
      </w:r>
      <w:r>
        <w:rPr>
          <w:rFonts w:ascii="Times New Roman" w:cs="Times New Roman" w:eastAsia="Times New Roman" w:hAnsi="Times New Roman"/>
          <w:sz w:val="22"/>
          <w:szCs w:val="22"/>
          <w:color w:val="auto"/>
          <w:highlight w:val="white"/>
        </w:rPr>
        <w:t>”):</w:t>
      </w:r>
    </w:p>
    <w:p>
      <w:pPr>
        <w:spacing w:after="0" w:line="200" w:lineRule="exact"/>
        <w:rPr>
          <w:sz w:val="20"/>
          <w:szCs w:val="20"/>
          <w:color w:val="auto"/>
        </w:rPr>
      </w:pPr>
    </w:p>
    <w:tbl>
      <w:tblPr>
        <w:tblLayout w:type="fixed"/>
        <w:tblInd w:w="1950" w:type="dxa"/>
        <w:tblCellMar>
          <w:top w:w="0" w:type="dxa"/>
          <w:left w:w="0" w:type="dxa"/>
          <w:bottom w:w="0" w:type="dxa"/>
          <w:right w:w="0" w:type="dxa"/>
        </w:tblCellMar>
      </w:tblPr>
      <w:tr>
        <w:trPr>
          <w:trHeight w:val="320"/>
        </w:trPr>
        <w:tc>
          <w:tcPr>
            <w:tcW w:w="2780" w:type="dxa"/>
            <w:vAlign w:val="bottom"/>
            <w:tcBorders>
              <w:top w:val="single" w:sz="8" w:color="auto"/>
              <w:left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Company rTSR Percentile</w:t>
            </w:r>
          </w:p>
        </w:tc>
        <w:tc>
          <w:tcPr>
            <w:tcW w:w="2280" w:type="dxa"/>
            <w:vAlign w:val="bottom"/>
            <w:tcBorders>
              <w:top w:val="single" w:sz="8" w:color="auto"/>
              <w:right w:val="single" w:sz="8" w:color="auto"/>
            </w:tcBorders>
            <w:vMerge w:val="restart"/>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rTSR Modifier</w:t>
            </w:r>
          </w:p>
        </w:tc>
        <w:tc>
          <w:tcPr>
            <w:tcW w:w="0" w:type="dxa"/>
            <w:vAlign w:val="bottom"/>
          </w:tcPr>
          <w:p>
            <w:pPr>
              <w:spacing w:after="0"/>
              <w:rPr>
                <w:sz w:val="1"/>
                <w:szCs w:val="1"/>
                <w:color w:val="auto"/>
              </w:rPr>
            </w:pPr>
          </w:p>
        </w:tc>
      </w:tr>
      <w:tr>
        <w:trPr>
          <w:trHeight w:val="151"/>
        </w:trPr>
        <w:tc>
          <w:tcPr>
            <w:tcW w:w="2780" w:type="dxa"/>
            <w:vAlign w:val="bottom"/>
            <w:tcBorders>
              <w:left w:val="single" w:sz="8" w:color="auto"/>
              <w:right w:val="single" w:sz="8" w:color="auto"/>
            </w:tcBorders>
            <w:vMerge w:val="restart"/>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Ranking</w:t>
            </w:r>
          </w:p>
        </w:tc>
        <w:tc>
          <w:tcPr>
            <w:tcW w:w="2280" w:type="dxa"/>
            <w:vAlign w:val="bottom"/>
            <w:tcBorders>
              <w:right w:val="single" w:sz="8" w:color="auto"/>
            </w:tcBorders>
            <w:vMerge w:val="continue"/>
            <w:shd w:val="clear" w:color="auto" w:fill="EEECE1"/>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80" w:type="dxa"/>
            <w:vAlign w:val="bottom"/>
            <w:tcBorders>
              <w:left w:val="single" w:sz="8" w:color="auto"/>
              <w:bottom w:val="single" w:sz="8" w:color="EEECE1"/>
              <w:right w:val="single" w:sz="8" w:color="auto"/>
            </w:tcBorders>
            <w:vMerge w:val="continue"/>
            <w:shd w:val="clear" w:color="auto" w:fill="EEECE1"/>
          </w:tcPr>
          <w:p>
            <w:pPr>
              <w:spacing w:after="0"/>
              <w:rPr>
                <w:sz w:val="15"/>
                <w:szCs w:val="15"/>
                <w:color w:val="auto"/>
              </w:rPr>
            </w:pPr>
          </w:p>
        </w:tc>
        <w:tc>
          <w:tcPr>
            <w:tcW w:w="2280" w:type="dxa"/>
            <w:vAlign w:val="bottom"/>
            <w:tcBorders>
              <w:bottom w:val="single" w:sz="8" w:color="EEECE1"/>
              <w:right w:val="single" w:sz="8" w:color="auto"/>
            </w:tcBorders>
            <w:shd w:val="clear" w:color="auto" w:fill="EEECE1"/>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w:t>
            </w:r>
            <w:r>
              <w:rPr>
                <w:rFonts w:ascii="Times New Roman" w:cs="Times New Roman" w:eastAsia="Times New Roman" w:hAnsi="Times New Roman"/>
                <w:sz w:val="25"/>
                <w:szCs w:val="25"/>
                <w:color w:val="auto"/>
                <w:w w:val="97"/>
                <w:vertAlign w:val="superscript"/>
              </w:rPr>
              <w:t>th</w:t>
            </w:r>
            <w:r>
              <w:rPr>
                <w:rFonts w:ascii="Times New Roman" w:cs="Times New Roman" w:eastAsia="Times New Roman" w:hAnsi="Times New Roman"/>
                <w:sz w:val="20"/>
                <w:szCs w:val="20"/>
                <w:color w:val="auto"/>
                <w:w w:val="97"/>
              </w:rPr>
              <w:t xml:space="preserve"> percentile or lower</w:t>
            </w:r>
          </w:p>
        </w:tc>
        <w:tc>
          <w:tcPr>
            <w:tcW w:w="2280" w:type="dxa"/>
            <w:vAlign w:val="bottom"/>
            <w:tcBorders>
              <w:top w:val="single" w:sz="8" w:color="auto"/>
              <w:bottom w:val="single" w:sz="8" w:color="auto"/>
              <w:right w:val="single" w:sz="8" w:color="auto"/>
            </w:tcBorders>
          </w:tcPr>
          <w:p>
            <w:pPr>
              <w:jc w:val="right"/>
              <w:ind w:right="839"/>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18"/>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50</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 change</w:t>
            </w:r>
          </w:p>
        </w:tc>
        <w:tc>
          <w:tcPr>
            <w:tcW w:w="0" w:type="dxa"/>
            <w:vAlign w:val="bottom"/>
          </w:tcPr>
          <w:p>
            <w:pPr>
              <w:spacing w:after="0"/>
              <w:rPr>
                <w:sz w:val="1"/>
                <w:szCs w:val="1"/>
                <w:color w:val="auto"/>
              </w:rPr>
            </w:pPr>
          </w:p>
        </w:tc>
      </w:tr>
      <w:tr>
        <w:trPr>
          <w:trHeight w:val="270"/>
        </w:trPr>
        <w:tc>
          <w:tcPr>
            <w:tcW w:w="2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 percentile or higher</w:t>
            </w:r>
          </w:p>
        </w:tc>
        <w:tc>
          <w:tcPr>
            <w:tcW w:w="2280" w:type="dxa"/>
            <w:vAlign w:val="bottom"/>
            <w:tcBorders>
              <w:right w:val="single" w:sz="8" w:color="auto"/>
            </w:tcBorders>
          </w:tcPr>
          <w:p>
            <w:pPr>
              <w:jc w:val="right"/>
              <w:ind w:right="879"/>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48"/>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960" w:right="1240"/>
        <w:spacing w:after="0" w:line="282" w:lineRule="auto"/>
        <w:rPr>
          <w:sz w:val="20"/>
          <w:szCs w:val="20"/>
          <w:color w:val="auto"/>
        </w:rPr>
      </w:pPr>
      <w:r>
        <w:rPr>
          <w:rFonts w:ascii="Times New Roman" w:cs="Times New Roman" w:eastAsia="Times New Roman" w:hAnsi="Times New Roman"/>
          <w:sz w:val="18"/>
          <w:szCs w:val="18"/>
          <w:color w:val="auto"/>
        </w:rPr>
        <w:t>For outcomes between the specified performance levels, the adjustment to the number of Earned PRSUs will be determined by straight line interpolation.</w:t>
      </w:r>
    </w:p>
    <w:p>
      <w:pPr>
        <w:spacing w:after="0" w:line="139" w:lineRule="exact"/>
        <w:rPr>
          <w:sz w:val="20"/>
          <w:szCs w:val="20"/>
          <w:color w:val="auto"/>
        </w:rPr>
      </w:pPr>
    </w:p>
    <w:p>
      <w:pPr>
        <w:jc w:val="both"/>
        <w:ind w:firstLine="1304"/>
        <w:spacing w:after="0" w:line="225"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Earned PRSUs Upon a Change in Control</w:t>
      </w:r>
      <w:r>
        <w:rPr>
          <w:rFonts w:ascii="Times New Roman" w:cs="Times New Roman" w:eastAsia="Times New Roman" w:hAnsi="Times New Roman"/>
          <w:sz w:val="22"/>
          <w:szCs w:val="22"/>
          <w:color w:val="auto"/>
          <w:highlight w:val="white"/>
        </w:rPr>
        <w:t>. Notwithstanding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and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Section 6</w:t>
      </w:r>
      <w:r>
        <w:rPr>
          <w:rFonts w:ascii="Times New Roman" w:cs="Times New Roman" w:eastAsia="Times New Roman" w:hAnsi="Times New Roman"/>
          <w:sz w:val="22"/>
          <w:szCs w:val="22"/>
          <w:color w:val="auto"/>
          <w:highlight w:val="white"/>
        </w:rPr>
        <w:t xml:space="preserve"> of this Award Certificate, if a Change in Control occurs before the end of the Performance Period, the number of Earned PRSUs will be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61" w:name="page62"/>
    <w:bookmarkEnd w:id="61"/>
    <w:p>
      <w:pPr>
        <w:spacing w:after="0" w:line="236" w:lineRule="auto"/>
        <w:rPr>
          <w:sz w:val="20"/>
          <w:szCs w:val="20"/>
          <w:color w:val="auto"/>
        </w:rPr>
      </w:pPr>
      <w:r>
        <w:rPr>
          <w:rFonts w:ascii="Times New Roman" w:cs="Times New Roman" w:eastAsia="Times New Roman" w:hAnsi="Times New Roman"/>
          <w:sz w:val="22"/>
          <w:szCs w:val="22"/>
          <w:color w:val="auto"/>
        </w:rPr>
        <w:t>determined exclusively in accordance with the table below, based on the Company’s rTSR percentile ranking for the CIC Performance Period.</w:t>
      </w:r>
    </w:p>
    <w:p>
      <w:pPr>
        <w:spacing w:after="0" w:line="198" w:lineRule="exact"/>
        <w:rPr>
          <w:sz w:val="20"/>
          <w:szCs w:val="20"/>
          <w:color w:val="auto"/>
        </w:rPr>
      </w:pPr>
    </w:p>
    <w:tbl>
      <w:tblPr>
        <w:tblLayout w:type="fixed"/>
        <w:tblInd w:w="790" w:type="dxa"/>
        <w:tblCellMar>
          <w:top w:w="0" w:type="dxa"/>
          <w:left w:w="0" w:type="dxa"/>
          <w:bottom w:w="0" w:type="dxa"/>
          <w:right w:w="0" w:type="dxa"/>
        </w:tblCellMar>
      </w:tblPr>
      <w:tr>
        <w:trPr>
          <w:trHeight w:val="320"/>
        </w:trPr>
        <w:tc>
          <w:tcPr>
            <w:tcW w:w="6020" w:type="dxa"/>
            <w:vAlign w:val="bottom"/>
            <w:tcBorders>
              <w:top w:val="single" w:sz="8" w:color="auto"/>
              <w:left w:val="single" w:sz="8" w:color="auto"/>
              <w:right w:val="single" w:sz="8" w:color="auto"/>
            </w:tcBorders>
            <w:gridSpan w:val="2"/>
            <w:vMerge w:val="restart"/>
            <w:shd w:val="clear" w:color="auto" w:fill="EEECE1"/>
          </w:tcPr>
          <w:p>
            <w:pPr>
              <w:ind w:left="1360"/>
              <w:spacing w:after="0"/>
              <w:rPr>
                <w:sz w:val="20"/>
                <w:szCs w:val="20"/>
                <w:color w:val="auto"/>
              </w:rPr>
            </w:pPr>
            <w:r>
              <w:rPr>
                <w:rFonts w:ascii="Times New Roman" w:cs="Times New Roman" w:eastAsia="Times New Roman" w:hAnsi="Times New Roman"/>
                <w:sz w:val="22"/>
                <w:szCs w:val="22"/>
                <w:b w:val="1"/>
                <w:bCs w:val="1"/>
                <w:color w:val="auto"/>
              </w:rPr>
              <w:t>Company rTSR Percentile Ranking</w:t>
            </w:r>
          </w:p>
        </w:tc>
        <w:tc>
          <w:tcPr>
            <w:tcW w:w="2580" w:type="dxa"/>
            <w:vAlign w:val="bottom"/>
            <w:tcBorders>
              <w:top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Percentage of Target</w:t>
            </w:r>
          </w:p>
        </w:tc>
        <w:tc>
          <w:tcPr>
            <w:tcW w:w="0" w:type="dxa"/>
            <w:vAlign w:val="bottom"/>
          </w:tcPr>
          <w:p>
            <w:pPr>
              <w:spacing w:after="0"/>
              <w:rPr>
                <w:sz w:val="1"/>
                <w:szCs w:val="1"/>
                <w:color w:val="auto"/>
              </w:rPr>
            </w:pPr>
          </w:p>
        </w:tc>
      </w:tr>
      <w:tr>
        <w:trPr>
          <w:trHeight w:val="151"/>
        </w:trPr>
        <w:tc>
          <w:tcPr>
            <w:tcW w:w="6020" w:type="dxa"/>
            <w:vAlign w:val="bottom"/>
            <w:tcBorders>
              <w:left w:val="single" w:sz="8" w:color="auto"/>
              <w:right w:val="single" w:sz="8" w:color="auto"/>
            </w:tcBorders>
            <w:gridSpan w:val="2"/>
            <w:vMerge w:val="continue"/>
            <w:shd w:val="clear" w:color="auto" w:fill="EEECE1"/>
          </w:tcPr>
          <w:p>
            <w:pPr>
              <w:spacing w:after="0"/>
              <w:rPr>
                <w:sz w:val="13"/>
                <w:szCs w:val="13"/>
                <w:color w:val="auto"/>
              </w:rPr>
            </w:pPr>
          </w:p>
        </w:tc>
        <w:tc>
          <w:tcPr>
            <w:tcW w:w="2580" w:type="dxa"/>
            <w:vAlign w:val="bottom"/>
            <w:tcBorders>
              <w:right w:val="single" w:sz="8" w:color="auto"/>
            </w:tcBorders>
            <w:vMerge w:val="restart"/>
            <w:shd w:val="clear" w:color="auto" w:fill="EEECE1"/>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Award Amount Earned</w:t>
            </w:r>
          </w:p>
        </w:tc>
        <w:tc>
          <w:tcPr>
            <w:tcW w:w="0" w:type="dxa"/>
            <w:vAlign w:val="bottom"/>
          </w:tcPr>
          <w:p>
            <w:pPr>
              <w:spacing w:after="0"/>
              <w:rPr>
                <w:sz w:val="1"/>
                <w:szCs w:val="1"/>
                <w:color w:val="auto"/>
              </w:rPr>
            </w:pPr>
          </w:p>
        </w:tc>
      </w:tr>
      <w:tr>
        <w:trPr>
          <w:trHeight w:val="177"/>
        </w:trPr>
        <w:tc>
          <w:tcPr>
            <w:tcW w:w="2900" w:type="dxa"/>
            <w:vAlign w:val="bottom"/>
            <w:tcBorders>
              <w:left w:val="single" w:sz="8" w:color="auto"/>
              <w:bottom w:val="single" w:sz="8" w:color="EEECE1"/>
              <w:right w:val="single" w:sz="8" w:color="EEECE1"/>
            </w:tcBorders>
            <w:shd w:val="clear" w:color="auto" w:fill="EEECE1"/>
          </w:tcPr>
          <w:p>
            <w:pPr>
              <w:spacing w:after="0"/>
              <w:rPr>
                <w:sz w:val="15"/>
                <w:szCs w:val="15"/>
                <w:color w:val="auto"/>
              </w:rPr>
            </w:pPr>
          </w:p>
        </w:tc>
        <w:tc>
          <w:tcPr>
            <w:tcW w:w="3120" w:type="dxa"/>
            <w:vAlign w:val="bottom"/>
            <w:tcBorders>
              <w:bottom w:val="single" w:sz="8" w:color="EEECE1"/>
              <w:right w:val="single" w:sz="8" w:color="auto"/>
            </w:tcBorders>
            <w:shd w:val="clear" w:color="auto" w:fill="EEECE1"/>
          </w:tcPr>
          <w:p>
            <w:pPr>
              <w:spacing w:after="0"/>
              <w:rPr>
                <w:sz w:val="15"/>
                <w:szCs w:val="15"/>
                <w:color w:val="auto"/>
              </w:rPr>
            </w:pPr>
          </w:p>
        </w:tc>
        <w:tc>
          <w:tcPr>
            <w:tcW w:w="2580" w:type="dxa"/>
            <w:vAlign w:val="bottom"/>
            <w:tcBorders>
              <w:bottom w:val="single" w:sz="8" w:color="EEECE1"/>
              <w:right w:val="single" w:sz="8" w:color="auto"/>
            </w:tcBorders>
            <w:vMerge w:val="continue"/>
            <w:shd w:val="clear" w:color="auto" w:fill="EEECE1"/>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Below Threshold</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Below 25</w:t>
            </w:r>
            <w:r>
              <w:rPr>
                <w:rFonts w:ascii="Times New Roman" w:cs="Times New Roman" w:eastAsia="Times New Roman" w:hAnsi="Times New Roman"/>
                <w:sz w:val="25"/>
                <w:szCs w:val="25"/>
                <w:color w:val="auto"/>
                <w:w w:val="96"/>
                <w:vertAlign w:val="superscript"/>
              </w:rPr>
              <w:t>th</w:t>
            </w:r>
            <w:r>
              <w:rPr>
                <w:rFonts w:ascii="Times New Roman" w:cs="Times New Roman" w:eastAsia="Times New Roman" w:hAnsi="Times New Roman"/>
                <w:sz w:val="20"/>
                <w:szCs w:val="20"/>
                <w:color w:val="auto"/>
                <w:w w:val="96"/>
              </w:rPr>
              <w:t xml:space="preserve"> percentile</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25</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50</w:t>
            </w:r>
            <w:r>
              <w:rPr>
                <w:rFonts w:ascii="Times New Roman" w:cs="Times New Roman" w:eastAsia="Times New Roman" w:hAnsi="Times New Roman"/>
                <w:sz w:val="25"/>
                <w:szCs w:val="25"/>
                <w:color w:val="auto"/>
                <w:w w:val="95"/>
                <w:vertAlign w:val="superscript"/>
              </w:rPr>
              <w:t>th</w:t>
            </w:r>
            <w:r>
              <w:rPr>
                <w:rFonts w:ascii="Times New Roman" w:cs="Times New Roman" w:eastAsia="Times New Roman" w:hAnsi="Times New Roman"/>
                <w:sz w:val="20"/>
                <w:szCs w:val="20"/>
                <w:color w:val="auto"/>
                <w:w w:val="95"/>
              </w:rPr>
              <w:t xml:space="preserve"> percentile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70"/>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 percentile or above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80" w:right="860"/>
        <w:spacing w:after="0" w:line="282" w:lineRule="auto"/>
        <w:rPr>
          <w:sz w:val="20"/>
          <w:szCs w:val="20"/>
          <w:color w:val="auto"/>
        </w:rPr>
      </w:pPr>
      <w:r>
        <w:rPr>
          <w:rFonts w:ascii="Times New Roman" w:cs="Times New Roman" w:eastAsia="Times New Roman" w:hAnsi="Times New Roman"/>
          <w:sz w:val="18"/>
          <w:szCs w:val="18"/>
          <w:color w:val="auto"/>
        </w:rPr>
        <w:t>For outcomes between the performance levels, the percentage of the Target Award Amount earned will be determined by straight line interpolation.</w:t>
      </w:r>
    </w:p>
    <w:p>
      <w:pPr>
        <w:spacing w:after="0" w:line="139" w:lineRule="exact"/>
        <w:rPr>
          <w:sz w:val="20"/>
          <w:szCs w:val="20"/>
          <w:color w:val="auto"/>
        </w:rPr>
      </w:pPr>
    </w:p>
    <w:p>
      <w:pPr>
        <w:ind w:left="1960" w:hanging="656"/>
        <w:spacing w:after="0"/>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Disability or Death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Retirement or Disability</w:t>
      </w:r>
      <w:r>
        <w:rPr>
          <w:rFonts w:ascii="Times New Roman" w:cs="Times New Roman" w:eastAsia="Times New Roman" w:hAnsi="Times New Roman"/>
          <w:sz w:val="21"/>
          <w:szCs w:val="21"/>
          <w:color w:val="auto"/>
          <w:highlight w:val="white"/>
        </w:rPr>
        <w:t>. In the event of Participant’s Retirement or a Company-initiated termination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Participant’s employment or service with the Company due to Participant’s Disability prior to the end of the Performance Period (or the CIC Performance Period, if applicable), this Award will remain outstanding and, at the conclusion of the Performance Period (or the CIC Performance Period, if applicable), Participant will vest in a number of Earned PRSUs equal to (x) the number of Earned PRSUs determined in accordance with </w:t>
      </w:r>
      <w:r>
        <w:rPr>
          <w:rFonts w:ascii="Times New Roman" w:cs="Times New Roman" w:eastAsia="Times New Roman" w:hAnsi="Times New Roman"/>
          <w:sz w:val="21"/>
          <w:szCs w:val="21"/>
          <w:u w:val="single" w:color="auto"/>
          <w:color w:val="auto"/>
          <w:highlight w:val="white"/>
        </w:rPr>
        <w:t>Section 4</w:t>
      </w:r>
      <w:r>
        <w:rPr>
          <w:rFonts w:ascii="Times New Roman" w:cs="Times New Roman" w:eastAsia="Times New Roman" w:hAnsi="Times New Roman"/>
          <w:sz w:val="21"/>
          <w:szCs w:val="21"/>
          <w:color w:val="auto"/>
          <w:highlight w:val="white"/>
        </w:rPr>
        <w:t xml:space="preserve"> or </w:t>
      </w:r>
      <w:r>
        <w:rPr>
          <w:rFonts w:ascii="Times New Roman" w:cs="Times New Roman" w:eastAsia="Times New Roman" w:hAnsi="Times New Roman"/>
          <w:sz w:val="21"/>
          <w:szCs w:val="21"/>
          <w:u w:val="single" w:color="auto"/>
          <w:color w:val="auto"/>
          <w:highlight w:val="white"/>
        </w:rPr>
        <w:t>5</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of this Award Certificate, as</w:t>
      </w:r>
      <w:r>
        <w:rPr>
          <w:rFonts w:ascii="Times New Roman" w:cs="Times New Roman" w:eastAsia="Times New Roman" w:hAnsi="Times New Roman"/>
          <w:sz w:val="21"/>
          <w:szCs w:val="21"/>
          <w:color w:val="auto"/>
          <w:highlight w:val="white"/>
        </w:rPr>
        <w:t xml:space="preserve"> applicable (as though Participant had remained employed through the end of the Performance Period (or CIC Performance Period, if applicable)), multiplied by (y) a fraction, the numerator of which will be the number of days Participant was </w:t>
      </w:r>
      <w:r>
        <w:rPr>
          <w:rFonts w:ascii="Times New Roman" w:cs="Times New Roman" w:eastAsia="Times New Roman" w:hAnsi="Times New Roman"/>
          <w:sz w:val="21"/>
          <w:szCs w:val="21"/>
          <w:color w:val="auto"/>
        </w:rPr>
        <w:t xml:space="preserve">continuously employed on and after January 1, 2026, and the denominator of which will be 1095. As a condition of vesting in any Earned PRSUs under this paragraph, Participant must execute a general release of claims against the Company and its affiliates in a form reasonably prescribed by the Company, and such release must become irrevocable within 45 days after Participant’s cessation of employment or service. If Participant fails to timely satisfy this release </w:t>
      </w:r>
      <w:r>
        <w:rPr>
          <w:rFonts w:ascii="Times New Roman" w:cs="Times New Roman" w:eastAsia="Times New Roman" w:hAnsi="Times New Roman"/>
          <w:sz w:val="21"/>
          <w:szCs w:val="21"/>
          <w:color w:val="auto"/>
          <w:highlight w:val="white"/>
        </w:rPr>
        <w:t>requirement, this Award and all related rights will be forfeited as of the date of such cessation.</w:t>
      </w:r>
    </w:p>
    <w:p>
      <w:pPr>
        <w:spacing w:after="0" w:line="151" w:lineRule="exact"/>
        <w:rPr>
          <w:rFonts w:ascii="Times New Roman" w:cs="Times New Roman" w:eastAsia="Times New Roman" w:hAnsi="Times New Roman"/>
          <w:sz w:val="21"/>
          <w:szCs w:val="21"/>
          <w:color w:val="010000"/>
        </w:rPr>
      </w:pPr>
    </w:p>
    <w:p>
      <w:pPr>
        <w:jc w:val="both"/>
        <w:ind w:left="660" w:firstLine="644"/>
        <w:spacing w:after="0" w:line="217" w:lineRule="auto"/>
        <w:tabs>
          <w:tab w:leader="none" w:pos="1951"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If Participant’s employment or service with the Company ceases due to Participant’s death prior to the last day of the Performance Period (or CIC Performance Period, if applicable), then Participant will immediately vest in a number of Earned PRSUs equal to (i) any Earned PRSUs already determined with respect to a calendar year of the Performance Period ended on or prior to Participant’s death, plus (ii) one-third (1/3) of the Target Award Amount for each remaining calendar year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-1942465</wp:posOffset>
            </wp:positionV>
            <wp:extent cx="166306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663065" cy="1460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-1530985</wp:posOffset>
            </wp:positionV>
            <wp:extent cx="6720840" cy="557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720840" cy="557530"/>
                    </a:xfrm>
                    <a:prstGeom prst="rect">
                      <a:avLst/>
                    </a:prstGeom>
                    <a:noFill/>
                  </pic:spPr>
                </pic:pic>
              </a:graphicData>
            </a:graphic>
          </wp:anchor>
        </w:drawing>
      </w:r>
    </w:p>
    <w:p>
      <w:pPr>
        <w:spacing w:after="0" w:line="132" w:lineRule="exact"/>
        <w:rPr>
          <w:sz w:val="20"/>
          <w:szCs w:val="20"/>
          <w:color w:val="auto"/>
        </w:rPr>
      </w:pPr>
    </w:p>
    <w:p>
      <w:pPr>
        <w:ind w:left="1960" w:hanging="656"/>
        <w:spacing w:after="0"/>
        <w:tabs>
          <w:tab w:leader="none" w:pos="19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If Participant has remained in continuous employment or service with the Company until the end of the Performance Period (or the CIC Performance Period, if applicable), he or she will then vest in the number of Earned PRSUs determined as of the last day of the Performance Period (or CIC Performance Period, if applicable). If Participant’s employment or service with the Company ceases prior to the end of the Performance Period (or CIC Performance Period, if applicable) for any reason other than as described in </w:t>
      </w:r>
      <w:r>
        <w:rPr>
          <w:rFonts w:ascii="Times New Roman" w:cs="Times New Roman" w:eastAsia="Times New Roman" w:hAnsi="Times New Roman"/>
          <w:sz w:val="22"/>
          <w:szCs w:val="22"/>
          <w:u w:val="single" w:color="auto"/>
          <w:color w:val="auto"/>
        </w:rPr>
        <w:t>Section 6(a) or (b)</w:t>
      </w:r>
      <w:r>
        <w:rPr>
          <w:rFonts w:ascii="Times New Roman" w:cs="Times New Roman" w:eastAsia="Times New Roman" w:hAnsi="Times New Roman"/>
          <w:sz w:val="22"/>
          <w:szCs w:val="22"/>
          <w:color w:val="auto"/>
        </w:rPr>
        <w:t xml:space="preserve"> of this Award Certificate, this Award and all related rights will be forfeited as of the date of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-296545</wp:posOffset>
            </wp:positionV>
            <wp:extent cx="14401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401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2" w:name="page63"/>
    <w:bookmarkEnd w:id="62"/>
    <w:p>
      <w:pPr>
        <w:ind w:left="660" w:right="300" w:firstLine="644"/>
        <w:spacing w:after="0" w:line="236" w:lineRule="auto"/>
        <w:tabs>
          <w:tab w:leader="none" w:pos="1951"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highlight w:val="white"/>
        </w:rPr>
        <w:t>. Subject to Section 9 of this Award Certificate, one Share will be delivered in respect of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vested Earned PRSU within 60 days following the vesting of such Earned PRSU.</w:t>
      </w:r>
    </w:p>
    <w:p>
      <w:pPr>
        <w:spacing w:after="0" w:line="150" w:lineRule="exact"/>
        <w:rPr>
          <w:sz w:val="20"/>
          <w:szCs w:val="20"/>
          <w:color w:val="auto"/>
        </w:rPr>
      </w:pPr>
    </w:p>
    <w:p>
      <w:pPr>
        <w:jc w:val="both"/>
        <w:ind w:firstLine="1304"/>
        <w:spacing w:after="0" w:line="212"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Measurement of Performance</w:t>
      </w:r>
      <w:r>
        <w:rPr>
          <w:rFonts w:ascii="Times New Roman" w:cs="Times New Roman" w:eastAsia="Times New Roman" w:hAnsi="Times New Roman"/>
          <w:sz w:val="22"/>
          <w:szCs w:val="22"/>
          <w:color w:val="auto"/>
          <w:highlight w:val="white"/>
        </w:rPr>
        <w:t>. Actual performance with respect to each Performance Component will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determined by the Committee in its sole discretion, in a manner consistent with the Company’s published disclosures (whether or not filed with the Securities and Exchange Commission). Similarly, the determination of TSR, rTSR and all other measures necessary for the administration of this Award will be made by the Committee in good faith and in its sole discretion. </w:t>
      </w:r>
      <w:r>
        <w:rPr>
          <w:rFonts w:ascii="Times New Roman" w:cs="Times New Roman" w:eastAsia="Times New Roman" w:hAnsi="Times New Roman"/>
          <w:sz w:val="22"/>
          <w:szCs w:val="22"/>
          <w:color w:val="auto"/>
        </w:rPr>
        <w:t xml:space="preserve">Notwithstanding any other provision of the Agreement or this Award Certificate, the levels of achievement with respect to any Performance Component shall be adjusted from time to time by the Committee as it deems equitable and necessary in light of </w:t>
      </w:r>
      <w:r>
        <w:rPr>
          <w:rFonts w:ascii="Times New Roman" w:cs="Times New Roman" w:eastAsia="Times New Roman" w:hAnsi="Times New Roman"/>
          <w:sz w:val="22"/>
          <w:szCs w:val="22"/>
          <w:color w:val="auto"/>
          <w:highlight w:val="white"/>
        </w:rPr>
        <w:t>acquisitions, dispositions and other non-routine and opportunistic expenses, transactions or extraordinary or one-time events that impact the Company’s operations or the measurement of any Performance Component.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Availability</w:t>
      </w:r>
      <w:r>
        <w:rPr>
          <w:rFonts w:ascii="Times New Roman" w:cs="Times New Roman" w:eastAsia="Times New Roman" w:hAnsi="Times New Roman"/>
          <w:sz w:val="22"/>
          <w:szCs w:val="22"/>
          <w:color w:val="auto"/>
        </w:rPr>
        <w:t>. Notwithstanding any other provision of the Agreement or this Award Certificate, Shares will be delivered in respect of vested Earned PRSUs only to the extent that Shares then remain available for issuance under the Plan. If the total number of Shares to be delivered as of the end of the Performance Period (or CIC Performance Period, if applicable) in respect of all vested Earned PRSU awards exceeds the number of Shares then available for issuance under the Plan, the available Shares will be allocated ratably among Participant and the other holders of vested Earned PRSU awards, based on the proportion that each holder’s number of vested Earned PRSUs bears to the aggregate number of all holders’ vested Earned PRSUs. Such ratable allocation of Shares will constitute a full satisfaction of Participant’s rights in respect of his or her vested Earned PRSUs.</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Award Certificate may be signed in counterparts, each of which shall be an original, with the same effect as if the signatures thereto and hereto were upon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-2218055</wp:posOffset>
            </wp:positionV>
            <wp:extent cx="7123430"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u w:val="single" w:color="auto"/>
          <w:color w:val="auto"/>
        </w:rPr>
        <w:t>12.</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parties have duly executed this Award Certificate on the respective date(s)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80" w:type="dxa"/>
        <w:tblCellMar>
          <w:top w:w="0" w:type="dxa"/>
          <w:left w:w="0" w:type="dxa"/>
          <w:bottom w:w="0" w:type="dxa"/>
          <w:right w:w="0" w:type="dxa"/>
        </w:tblCellMar>
      </w:tblPr>
      <w:tr>
        <w:trPr>
          <w:trHeight w:val="286"/>
        </w:trPr>
        <w:tc>
          <w:tcPr>
            <w:tcW w:w="4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BRANDYWINE REALTY TRUST</w:t>
            </w:r>
          </w:p>
        </w:tc>
        <w:tc>
          <w:tcPr>
            <w:tcW w:w="4640" w:type="dxa"/>
            <w:vAlign w:val="bottom"/>
            <w:gridSpan w:val="3"/>
          </w:tcPr>
          <w:p>
            <w:pPr>
              <w:ind w:left="860"/>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0" w:type="dxa"/>
            <w:vAlign w:val="bottom"/>
          </w:tcPr>
          <w:p>
            <w:pPr>
              <w:spacing w:after="0"/>
              <w:rPr>
                <w:sz w:val="1"/>
                <w:szCs w:val="1"/>
                <w:color w:val="auto"/>
              </w:rPr>
            </w:pPr>
          </w:p>
        </w:tc>
      </w:tr>
      <w:tr>
        <w:trPr>
          <w:trHeight w:val="717"/>
        </w:trPr>
        <w:tc>
          <w:tcPr>
            <w:tcW w:w="4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By: ________________________________</w:t>
            </w:r>
          </w:p>
        </w:tc>
        <w:tc>
          <w:tcPr>
            <w:tcW w:w="4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w w:val="97"/>
              </w:rPr>
              <w:t>___________________________________</w:t>
            </w:r>
          </w:p>
        </w:tc>
        <w:tc>
          <w:tcPr>
            <w:tcW w:w="0" w:type="dxa"/>
            <w:vAlign w:val="bottom"/>
          </w:tcPr>
          <w:p>
            <w:pPr>
              <w:spacing w:after="0"/>
              <w:rPr>
                <w:sz w:val="1"/>
                <w:szCs w:val="1"/>
                <w:color w:val="auto"/>
              </w:rPr>
            </w:pPr>
          </w:p>
        </w:tc>
      </w:tr>
      <w:tr>
        <w:trPr>
          <w:trHeight w:val="27"/>
        </w:trPr>
        <w:tc>
          <w:tcPr>
            <w:tcW w:w="4680" w:type="dxa"/>
            <w:vAlign w:val="bottom"/>
            <w:vMerge w:val="continue"/>
          </w:tcPr>
          <w:p>
            <w:pPr>
              <w:spacing w:after="0"/>
              <w:rPr>
                <w:sz w:val="2"/>
                <w:szCs w:val="2"/>
                <w:color w:val="auto"/>
              </w:rPr>
            </w:pPr>
          </w:p>
        </w:tc>
        <w:tc>
          <w:tcPr>
            <w:tcW w:w="154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Name:</w:t>
            </w:r>
          </w:p>
        </w:tc>
        <w:tc>
          <w:tcPr>
            <w:tcW w:w="540" w:type="dxa"/>
            <w:vAlign w:val="bottom"/>
          </w:tcPr>
          <w:p>
            <w:pPr>
              <w:spacing w:after="0"/>
              <w:rPr>
                <w:sz w:val="2"/>
                <w:szCs w:val="2"/>
                <w:color w:val="auto"/>
              </w:rPr>
            </w:pPr>
          </w:p>
        </w:tc>
        <w:tc>
          <w:tcPr>
            <w:tcW w:w="25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40" w:type="dxa"/>
            <w:vAlign w:val="bottom"/>
            <w:shd w:val="clear" w:color="auto" w:fill="FFFF00"/>
          </w:tcPr>
          <w:p>
            <w:pPr>
              <w:spacing w:after="0" w:line="229" w:lineRule="exact"/>
              <w:rPr>
                <w:sz w:val="20"/>
                <w:szCs w:val="20"/>
                <w:color w:val="auto"/>
              </w:rPr>
            </w:pPr>
            <w:r>
              <w:rPr>
                <w:rFonts w:ascii="Times New Roman" w:cs="Times New Roman" w:eastAsia="Times New Roman" w:hAnsi="Times New Roman"/>
                <w:sz w:val="22"/>
                <w:szCs w:val="22"/>
                <w:color w:val="auto"/>
                <w:w w:val="77"/>
              </w:rPr>
              <w:t>[Name]</w:t>
            </w:r>
          </w:p>
        </w:tc>
        <w:tc>
          <w:tcPr>
            <w:tcW w:w="2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Date:</w:t>
            </w:r>
          </w:p>
        </w:tc>
        <w:tc>
          <w:tcPr>
            <w:tcW w:w="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Performance-Based Restricted Stock Unit Award Certificate</w:t>
      </w:r>
      <w:r>
        <w:rPr>
          <w:rFonts w:ascii="Times New Roman" w:cs="Times New Roman" w:eastAsia="Times New Roman" w:hAnsi="Times New Roman"/>
          <w:sz w:val="18"/>
          <w:szCs w:val="18"/>
          <w:color w:val="auto"/>
        </w:rPr>
        <w:t>]</w:t>
      </w:r>
    </w:p>
    <w:p>
      <w:pPr>
        <w:sectPr>
          <w:pgSz w:w="11900" w:h="16838" w:orient="portrait"/>
          <w:cols w:equalWidth="0" w:num="1">
            <w:col w:w="11020"/>
          </w:cols>
          <w:pgMar w:left="320" w:top="1422" w:right="5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BRANDYWINE REALTY TRUST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outperformance feature)</w:t>
      </w:r>
    </w:p>
    <w:p>
      <w:pPr>
        <w:spacing w:after="0" w:line="2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the Effective Date set forth in the attached Award Certificate (the “</w:t>
      </w: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is made pursuant to the Brandywine Realty Trust 2023 Long-Term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by and between Brandywine Realty Trust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named on the Award Certificate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The Award Certificate is included with and made part of this Agreement. In this Agreement and the Award Certificate, unless the context otherwise requires, words and expressions shall have the meanings given to them in the Plan, except as herein defined.</w:t>
      </w:r>
    </w:p>
    <w:p>
      <w:pPr>
        <w:spacing w:after="0" w:line="141" w:lineRule="exact"/>
        <w:rPr>
          <w:sz w:val="20"/>
          <w:szCs w:val="20"/>
          <w:color w:val="auto"/>
        </w:rPr>
      </w:pPr>
    </w:p>
    <w:p>
      <w:pPr>
        <w:ind w:left="1960" w:hanging="656"/>
        <w:spacing w:after="0"/>
        <w:tabs>
          <w:tab w:leader="none" w:pos="19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following meanings:</w:t>
      </w:r>
    </w:p>
    <w:p>
      <w:pPr>
        <w:jc w:val="both"/>
        <w:ind w:left="660" w:firstLine="644"/>
        <w:spacing w:after="0" w:line="212" w:lineRule="auto"/>
        <w:tabs>
          <w:tab w:leader="none" w:pos="195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Achievement Percentage</w:t>
      </w:r>
      <w:r>
        <w:rPr>
          <w:rFonts w:ascii="Times New Roman" w:cs="Times New Roman" w:eastAsia="Times New Roman" w:hAnsi="Times New Roman"/>
          <w:sz w:val="22"/>
          <w:szCs w:val="22"/>
          <w:color w:val="auto"/>
          <w:highlight w:val="white"/>
        </w:rPr>
        <w:t>” means the “Percentage of Component Earned” specified with respect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target, above target and maximum levels for each Performance Component on the Award Certificate, or a percentage determined using linear interpolation if actual performance falls between any two specific levels. In the event that actual performance does not meet the target level for any Performance Component, the “Achievement Percentage” with respect to such Performance Component shall be zero.</w:t>
      </w:r>
    </w:p>
    <w:p>
      <w:pPr>
        <w:spacing w:after="0" w:line="154"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Plan</w:t>
      </w:r>
      <w:r>
        <w:rPr>
          <w:rFonts w:ascii="Times New Roman" w:cs="Times New Roman" w:eastAsia="Times New Roman" w:hAnsi="Times New Roman"/>
          <w:sz w:val="22"/>
          <w:szCs w:val="22"/>
          <w:color w:val="auto"/>
          <w:highlight w:val="white"/>
        </w:rPr>
        <w:t>” means the Brandywine Realty Trust Executive Deferred Compensation</w:t>
      </w:r>
      <w:r>
        <w:rPr>
          <w:rFonts w:ascii="Times New Roman" w:cs="Times New Roman" w:eastAsia="Times New Roman" w:hAnsi="Times New Roman"/>
          <w:sz w:val="22"/>
          <w:szCs w:val="22"/>
          <w:color w:val="auto"/>
        </w:rPr>
        <w:t xml:space="preserve"> Plan, as in effect from time to time.</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Double Trigger Termination</w:t>
      </w:r>
      <w:r>
        <w:rPr>
          <w:rFonts w:ascii="Times New Roman" w:cs="Times New Roman" w:eastAsia="Times New Roman" w:hAnsi="Times New Roman"/>
          <w:sz w:val="22"/>
          <w:szCs w:val="22"/>
          <w:color w:val="auto"/>
          <w:highlight w:val="white"/>
        </w:rPr>
        <w:t>” means a Company-initiated termination of the Participant’s 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without Cause, or the Participant’s resignation with Good Reason, in either case during the one-year period following a Change in Control.</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44"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the occurrence of any of the following </w:t>
      </w:r>
      <w:r>
        <w:rPr>
          <w:rFonts w:ascii="Times New Roman" w:cs="Times New Roman" w:eastAsia="Times New Roman" w:hAnsi="Times New Roman"/>
          <w:sz w:val="22"/>
          <w:szCs w:val="22"/>
          <w:u w:val="single" w:color="auto"/>
          <w:color w:val="auto"/>
        </w:rPr>
        <w:t>after</w:t>
      </w:r>
      <w:r>
        <w:rPr>
          <w:rFonts w:ascii="Times New Roman" w:cs="Times New Roman" w:eastAsia="Times New Roman" w:hAnsi="Times New Roman"/>
          <w:sz w:val="22"/>
          <w:szCs w:val="22"/>
          <w:color w:val="auto"/>
        </w:rPr>
        <w:t xml:space="preserve"> a Change in Control: (i) a decrease in </w:t>
      </w:r>
      <w:r>
        <w:rPr>
          <w:rFonts w:ascii="Times New Roman" w:cs="Times New Roman" w:eastAsia="Times New Roman" w:hAnsi="Times New Roman"/>
          <w:sz w:val="22"/>
          <w:szCs w:val="22"/>
          <w:color w:val="auto"/>
          <w:highlight w:val="white"/>
        </w:rPr>
        <w:t>the Participant’s annual base salary in effect at the date of the Change in Control; (ii) a material decrease in the Participant</w:t>
      </w:r>
      <w:r>
        <w:rPr>
          <w:rFonts w:ascii="Times New Roman" w:cs="Times New Roman" w:eastAsia="Times New Roman" w:hAnsi="Times New Roman"/>
          <w:sz w:val="19"/>
          <w:szCs w:val="19"/>
          <w:color w:val="auto"/>
        </w:rPr>
        <w:t>’s</w:t>
      </w:r>
      <w:r>
        <w:rPr>
          <w:rFonts w:ascii="Times New Roman" w:cs="Times New Roman" w:eastAsia="Times New Roman" w:hAnsi="Times New Roman"/>
          <w:sz w:val="22"/>
          <w:szCs w:val="22"/>
          <w:color w:val="auto"/>
          <w:highlight w:val="white"/>
        </w:rPr>
        <w:t xml:space="preserve"> annual bonus opportunity in effect at the date of the Change in Control; (iii) a material diminution in the </w:t>
      </w:r>
      <w:r>
        <w:rPr>
          <w:rFonts w:ascii="Times New Roman" w:cs="Times New Roman" w:eastAsia="Times New Roman" w:hAnsi="Times New Roman"/>
          <w:sz w:val="22"/>
          <w:szCs w:val="22"/>
          <w:color w:val="auto"/>
        </w:rPr>
        <w:t xml:space="preserve">Participant’s title, authority, duties, or responsibilities in effect at the date of the Change in Control; or (iv) a relocation of the Participant’s principal place of work to a location more than thirty (30) miles from the location at the date of the </w:t>
      </w:r>
      <w:r>
        <w:rPr>
          <w:rFonts w:ascii="Times New Roman" w:cs="Times New Roman" w:eastAsia="Times New Roman" w:hAnsi="Times New Roman"/>
          <w:sz w:val="22"/>
          <w:szCs w:val="22"/>
          <w:color w:val="auto"/>
          <w:highlight w:val="white"/>
        </w:rPr>
        <w:t xml:space="preserve">Change in Control; provided, </w:t>
      </w:r>
      <w:r>
        <w:rPr>
          <w:rFonts w:ascii="Times New Roman" w:cs="Times New Roman" w:eastAsia="Times New Roman" w:hAnsi="Times New Roman"/>
          <w:sz w:val="22"/>
          <w:szCs w:val="22"/>
          <w:u w:val="single" w:color="auto"/>
          <w:color w:val="auto"/>
          <w:highlight w:val="white"/>
        </w:rPr>
        <w:t>however</w:t>
      </w:r>
      <w:r>
        <w:rPr>
          <w:rFonts w:ascii="Times New Roman" w:cs="Times New Roman" w:eastAsia="Times New Roman" w:hAnsi="Times New Roman"/>
          <w:sz w:val="22"/>
          <w:szCs w:val="22"/>
          <w:color w:val="auto"/>
          <w:highlight w:val="white"/>
        </w:rPr>
        <w:t xml:space="preserve">, that the foregoing events or conditions will only constitute Good Reason if the Participant provides the Company with written objection to the event or condition within ninety (90) days following the </w:t>
      </w:r>
      <w:r>
        <w:rPr>
          <w:rFonts w:ascii="Times New Roman" w:cs="Times New Roman" w:eastAsia="Times New Roman" w:hAnsi="Times New Roman"/>
          <w:sz w:val="22"/>
          <w:szCs w:val="22"/>
          <w:color w:val="auto"/>
        </w:rPr>
        <w:t xml:space="preserve">occurrence thereof, the Company does not reverse or otherwise cure the event or condition within thirty (30) days of receiving that written objection, and the Participant resigns his or her employment within thirty (30) days following the </w:t>
      </w:r>
      <w:r>
        <w:rPr>
          <w:rFonts w:ascii="Times New Roman" w:cs="Times New Roman" w:eastAsia="Times New Roman" w:hAnsi="Times New Roman"/>
          <w:sz w:val="22"/>
          <w:szCs w:val="22"/>
          <w:color w:val="auto"/>
          <w:highlight w:val="white"/>
        </w:rPr>
        <w:t>expiration of that cure period.</w:t>
      </w:r>
    </w:p>
    <w:p>
      <w:pPr>
        <w:spacing w:after="0" w:line="151" w:lineRule="exact"/>
        <w:rPr>
          <w:rFonts w:ascii="Times New Roman" w:cs="Times New Roman" w:eastAsia="Times New Roman" w:hAnsi="Times New Roman"/>
          <w:sz w:val="20"/>
          <w:szCs w:val="20"/>
          <w:color w:val="010000"/>
        </w:rPr>
      </w:pPr>
    </w:p>
    <w:p>
      <w:pPr>
        <w:jc w:val="both"/>
        <w:ind w:left="660" w:firstLine="644"/>
        <w:spacing w:after="0" w:line="225" w:lineRule="auto"/>
        <w:tabs>
          <w:tab w:leader="none" w:pos="195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Outperformance Modifier</w:t>
      </w:r>
      <w:r>
        <w:rPr>
          <w:rFonts w:ascii="Times New Roman" w:cs="Times New Roman" w:eastAsia="Times New Roman" w:hAnsi="Times New Roman"/>
          <w:sz w:val="22"/>
          <w:szCs w:val="22"/>
          <w:color w:val="auto"/>
        </w:rPr>
        <w:t>” means the percentage set forth on the Award Certificate, which represents the number of additional RSUs that may potentially be earned under the outperformance element of this Award as a percentage of the Target Award Amount.</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6"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Components</w:t>
      </w:r>
      <w:r>
        <w:rPr>
          <w:rFonts w:ascii="Times New Roman" w:cs="Times New Roman" w:eastAsia="Times New Roman" w:hAnsi="Times New Roman"/>
          <w:sz w:val="22"/>
          <w:szCs w:val="22"/>
          <w:color w:val="auto"/>
        </w:rPr>
        <w:t>” means the performance criteria applicable to the Award, as set forth on the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-2355215</wp:posOffset>
            </wp:positionV>
            <wp:extent cx="216027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160270" cy="1460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-1943735</wp:posOffset>
            </wp:positionV>
            <wp:extent cx="6720840" cy="282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720840" cy="282575"/>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-1541145</wp:posOffset>
            </wp:positionV>
            <wp:extent cx="4876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-1395095</wp:posOffset>
            </wp:positionV>
            <wp:extent cx="6711950" cy="282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711950" cy="28257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65" w:name="page66"/>
    <w:bookmarkEnd w:id="65"/>
    <w:p>
      <w:pPr>
        <w:jc w:val="both"/>
        <w:ind w:left="660" w:firstLine="644"/>
        <w:spacing w:after="0" w:line="225" w:lineRule="auto"/>
        <w:tabs>
          <w:tab w:leader="none" w:pos="1951"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highlight w:val="white"/>
        </w:rPr>
        <w:t>” means the three-year period beginning January 1, 2026 and ending December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2028; provided that, for purposes of Section 4(c), Performance Period will also include an abbreviated performance period, if applicable under Section 4(d).</w:t>
      </w:r>
    </w:p>
    <w:p>
      <w:pPr>
        <w:spacing w:after="0" w:line="152" w:lineRule="exact"/>
        <w:rPr>
          <w:rFonts w:ascii="Times New Roman" w:cs="Times New Roman" w:eastAsia="Times New Roman" w:hAnsi="Times New Roman"/>
          <w:sz w:val="22"/>
          <w:szCs w:val="22"/>
          <w:color w:val="010000"/>
        </w:rPr>
      </w:pPr>
    </w:p>
    <w:p>
      <w:pPr>
        <w:ind w:left="660" w:right="700" w:firstLine="644"/>
        <w:spacing w:after="0" w:line="225" w:lineRule="auto"/>
        <w:tabs>
          <w:tab w:leader="none" w:pos="1951"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highlight w:val="white"/>
        </w:rPr>
        <w:t>” means (i) a Termination of Employment after the Participant has become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Retirement Eligible (unless Cause then exists), (ii) a Company-initiated Termination of Employment due to the Participant’s Disability, or (iii) a Termination of Employment due to the Participant’s death.</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44"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Relative Weighting</w:t>
      </w:r>
      <w:r>
        <w:rPr>
          <w:rFonts w:ascii="Times New Roman" w:cs="Times New Roman" w:eastAsia="Times New Roman" w:hAnsi="Times New Roman"/>
          <w:sz w:val="22"/>
          <w:szCs w:val="22"/>
          <w:color w:val="auto"/>
        </w:rPr>
        <w:t>” means, in respect of any Performance Component, the “Relative Weighting” set forth for such Performance Component on the Award Certificate.</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44"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Eligible</w:t>
      </w:r>
      <w:r>
        <w:rPr>
          <w:rFonts w:ascii="Times New Roman" w:cs="Times New Roman" w:eastAsia="Times New Roman" w:hAnsi="Times New Roman"/>
          <w:sz w:val="22"/>
          <w:szCs w:val="22"/>
          <w:color w:val="auto"/>
        </w:rPr>
        <w:t>” means the Participant has attained at least age fifty seven (57) and completed at least fifteen (15) years of continuous full-time service with the Company.</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highlight w:val="white"/>
        </w:rPr>
        <w:t>” means Restricted Stock Units granted hereunder.</w:t>
      </w:r>
    </w:p>
    <w:p>
      <w:pPr>
        <w:spacing w:after="0" w:line="16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Code, including the regulations and guidance promulgated</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thereunder.</w:t>
      </w:r>
    </w:p>
    <w:p>
      <w:pPr>
        <w:spacing w:after="0" w:line="155" w:lineRule="exact"/>
        <w:rPr>
          <w:rFonts w:ascii="Times New Roman" w:cs="Times New Roman" w:eastAsia="Times New Roman" w:hAnsi="Times New Roman"/>
          <w:sz w:val="22"/>
          <w:szCs w:val="22"/>
          <w:color w:val="010000"/>
        </w:rPr>
      </w:pPr>
    </w:p>
    <w:p>
      <w:pPr>
        <w:ind w:left="660" w:firstLine="644"/>
        <w:spacing w:after="0" w:line="236" w:lineRule="auto"/>
        <w:tabs>
          <w:tab w:leader="none" w:pos="1944"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 Amount</w:t>
      </w:r>
      <w:r>
        <w:rPr>
          <w:rFonts w:ascii="Times New Roman" w:cs="Times New Roman" w:eastAsia="Times New Roman" w:hAnsi="Times New Roman"/>
          <w:sz w:val="22"/>
          <w:szCs w:val="22"/>
          <w:color w:val="auto"/>
          <w:highlight w:val="white"/>
        </w:rPr>
        <w:t>” means, in respect of the Award, the “Target Award Amount” set forth on the</w:t>
      </w:r>
      <w:r>
        <w:rPr>
          <w:rFonts w:ascii="Times New Roman" w:cs="Times New Roman" w:eastAsia="Times New Roman" w:hAnsi="Times New Roman"/>
          <w:sz w:val="22"/>
          <w:szCs w:val="22"/>
          <w:color w:val="auto"/>
        </w:rPr>
        <w:t xml:space="preserve"> Award Certificate.</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effective date of a Termination of Employment for any reason.</w:t>
      </w:r>
    </w:p>
    <w:p>
      <w:pPr>
        <w:spacing w:after="0" w:line="179"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means a “separation from service” of the Participant within the meaning of Treasury Regulation §1.409A-1(h) (or any successor regulation).</w:t>
      </w:r>
    </w:p>
    <w:p>
      <w:pPr>
        <w:spacing w:after="0" w:line="150" w:lineRule="exact"/>
        <w:rPr>
          <w:sz w:val="20"/>
          <w:szCs w:val="20"/>
          <w:color w:val="auto"/>
        </w:rPr>
      </w:pPr>
    </w:p>
    <w:p>
      <w:pPr>
        <w:jc w:val="both"/>
        <w:ind w:firstLine="1304"/>
        <w:spacing w:after="0" w:line="217"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Elements</w:t>
      </w:r>
      <w:r>
        <w:rPr>
          <w:rFonts w:ascii="Times New Roman" w:cs="Times New Roman" w:eastAsia="Times New Roman" w:hAnsi="Times New Roman"/>
          <w:sz w:val="22"/>
          <w:szCs w:val="22"/>
          <w:color w:val="auto"/>
        </w:rPr>
        <w:t>. This Award is composed of two elements, a “basic” element and an “outperformance” element. The “basic” element consists of a number of RSUs equal to 100% of the Target Award Amount, which RSUs are subject to service-based vesting conditions as set forth in Section 3. The “outperformance” element consists of a number of additional RSUs (ranging from zero to the Target Award Amount multiplied by the Outperformance Modifier) that may be earned pursuant to Section 4(a) and, if earned, will be subject to service-based vesting conditions as set forth in Section 4(b).</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Basic Element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Provided the Participant remains in continuous service with the Company through the applicable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or event:</w:t>
      </w:r>
    </w:p>
    <w:p>
      <w:pPr>
        <w:spacing w:after="0" w:line="169" w:lineRule="exact"/>
        <w:rPr>
          <w:sz w:val="20"/>
          <w:szCs w:val="20"/>
          <w:color w:val="auto"/>
        </w:rPr>
      </w:pPr>
    </w:p>
    <w:p>
      <w:pPr>
        <w:ind w:left="660" w:firstLine="1292"/>
        <w:spacing w:after="0" w:line="254" w:lineRule="auto"/>
        <w:tabs>
          <w:tab w:leader="none" w:pos="2592"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number of RSUs equal to one-third (1/3) of the Target Award Amount shall become vested on April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of the first three calendar years beginning after the Effective Date;</w:t>
      </w:r>
    </w:p>
    <w:p>
      <w:pPr>
        <w:spacing w:after="0" w:line="39" w:lineRule="exact"/>
        <w:rPr>
          <w:rFonts w:ascii="Times New Roman" w:cs="Times New Roman" w:eastAsia="Times New Roman" w:hAnsi="Times New Roman"/>
          <w:sz w:val="22"/>
          <w:szCs w:val="22"/>
          <w:color w:val="010000"/>
        </w:rPr>
      </w:pPr>
    </w:p>
    <w:p>
      <w:pPr>
        <w:jc w:val="both"/>
        <w:ind w:left="660" w:firstLine="1292"/>
        <w:spacing w:after="0" w:line="225" w:lineRule="auto"/>
        <w:tabs>
          <w:tab w:leader="none" w:pos="2598"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the Participant’s death or a Company-initiated Termination of Employment due to the Participant’s Disability, any RSUs that are subject to vesting under Section 3(a)(i) above, but not yet otherwise vested, will then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66" w:name="page67"/>
    <w:bookmarkEnd w:id="66"/>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vested; provided that the accelerated vesting of RSUs under this Section 3(a)(ii) as a result of a Termination of Employment due to Disability will be conditioned on the Participant’s execution of a general release of claims against the Company and its affiliates in a form reasonably prescribed by the Company, and on such release becoming irrevocable within 45 days after the Participant’s Termination Date. If the Participant fails to timely satisfy this release requirement, all RSUs otherwise vesting under this Section 3(a)(ii) as a result of such termination will be forfeited, and the Participant will have no further rights with respect thereto;</w:t>
      </w:r>
    </w:p>
    <w:p>
      <w:pPr>
        <w:spacing w:after="0" w:line="152" w:lineRule="exact"/>
        <w:rPr>
          <w:sz w:val="20"/>
          <w:szCs w:val="20"/>
          <w:color w:val="auto"/>
        </w:rPr>
      </w:pPr>
    </w:p>
    <w:p>
      <w:pPr>
        <w:ind w:left="660" w:firstLine="1292"/>
        <w:spacing w:after="0" w:line="236" w:lineRule="auto"/>
        <w:tabs>
          <w:tab w:leader="none" w:pos="2604"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Participant becoming Retirement Eligible, any RSUs that are subject to vesting under Section 3(a)(i) above, but not yet otherwise vested, will then become vested; and</w:t>
      </w:r>
    </w:p>
    <w:p>
      <w:pPr>
        <w:spacing w:after="0" w:line="150" w:lineRule="exact"/>
        <w:rPr>
          <w:rFonts w:ascii="Times New Roman" w:cs="Times New Roman" w:eastAsia="Times New Roman" w:hAnsi="Times New Roman"/>
          <w:sz w:val="22"/>
          <w:szCs w:val="22"/>
          <w:color w:val="010000"/>
        </w:rPr>
      </w:pPr>
    </w:p>
    <w:p>
      <w:pPr>
        <w:jc w:val="both"/>
        <w:ind w:left="660" w:firstLine="1292"/>
        <w:spacing w:after="0" w:line="215" w:lineRule="auto"/>
        <w:tabs>
          <w:tab w:leader="none" w:pos="2592"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a Double Trigger Termination, any RSUs that are subject to vesting under Section 3(a)(i) above, but not yet otherwise vested, will then become vested; provided that the Participant executes a general release of claims against the Company and its affiliates in a form reasonably prescribed by the Company and that release becomes irrevocable within 45 days after such termination. If the Participant fails to timely satisfy this release requirement, all RSUs otherwise vesting under this Section 3(a)(iv) shall be forfeited, and the Participant will have no further rights with respect thereto.</w:t>
      </w:r>
    </w:p>
    <w:p>
      <w:pPr>
        <w:spacing w:after="0" w:line="152" w:lineRule="exact"/>
        <w:rPr>
          <w:rFonts w:ascii="Times New Roman" w:cs="Times New Roman" w:eastAsia="Times New Roman" w:hAnsi="Times New Roman"/>
          <w:sz w:val="22"/>
          <w:szCs w:val="22"/>
          <w:color w:val="010000"/>
        </w:rPr>
      </w:pPr>
    </w:p>
    <w:p>
      <w:pPr>
        <w:jc w:val="both"/>
        <w:ind w:left="660" w:firstLine="1292"/>
        <w:spacing w:after="0" w:line="217" w:lineRule="auto"/>
        <w:tabs>
          <w:tab w:leader="none" w:pos="2599" w:val="left"/>
        </w:tabs>
        <w:numPr>
          <w:ilvl w:val="1"/>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Participant’s termination of employment with the Company, the Participant will forfeit all RSUs subject to vesting under this Section 3 (and all rights with respect thereto) that have not become vested as of or prior to such termination. In addition, if the termination is for Cause, all RSUs subject to this Section 3 (whether or not then vested) and any Shares underlying RSUs that have not yet been issued to the Participant shall then be automatically forfeited.</w:t>
      </w:r>
    </w:p>
    <w:p>
      <w:pPr>
        <w:spacing w:after="0" w:line="179" w:lineRule="exact"/>
        <w:rPr>
          <w:rFonts w:ascii="Times New Roman" w:cs="Times New Roman" w:eastAsia="Times New Roman" w:hAnsi="Times New Roman"/>
          <w:sz w:val="22"/>
          <w:szCs w:val="22"/>
          <w:color w:val="010000"/>
        </w:rPr>
      </w:pPr>
    </w:p>
    <w:p>
      <w:pPr>
        <w:ind w:firstLine="1304"/>
        <w:spacing w:after="0" w:line="271" w:lineRule="auto"/>
        <w:tabs>
          <w:tab w:leader="none" w:pos="193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Subject to any delay required by Section 5(i) (regarding Section 409A), Shares will become deliverable in respect of RSUs vesting under Section 3(a) as follows:</w:t>
      </w:r>
    </w:p>
    <w:p>
      <w:pPr>
        <w:spacing w:after="0" w:line="126"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2"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RSUs vesting under Section 3(a)(i) or 3(a)(ii)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scheduled vesting dates, termination due to death or Disability), one Share shall be delivered in respect of each RSU then vesting, within 60 days of the applicable vesting date or event;</w:t>
      </w:r>
    </w:p>
    <w:p>
      <w:pPr>
        <w:spacing w:after="0" w:line="146" w:lineRule="exact"/>
        <w:rPr>
          <w:rFonts w:ascii="Times New Roman" w:cs="Times New Roman" w:eastAsia="Times New Roman" w:hAnsi="Times New Roman"/>
          <w:sz w:val="22"/>
          <w:szCs w:val="22"/>
          <w:color w:val="010000"/>
        </w:rPr>
      </w:pPr>
    </w:p>
    <w:p>
      <w:pPr>
        <w:jc w:val="both"/>
        <w:ind w:left="660" w:firstLine="1292"/>
        <w:spacing w:after="0" w:line="211" w:lineRule="auto"/>
        <w:tabs>
          <w:tab w:leader="none" w:pos="2598"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RSUs vesting under Section 3(a)(iii)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Retirement Eligibility), one Share shall be delivered in respect of each RSU then vesting within 60 days of the earlier of (A) the date such Share would have otherwise been deliverable under Section 3(a)(i) (i.e., the applicable scheduled vesting date), or (B) the Participant’s Termination Date; provided that the delivery of any Share under this Section upon or following the Participant’s Termination Date will be conditioned on the Participant’s execution of a general release of claims against the Company and its affiliates in a form reasonably prescribed by the Company, and on such release becoming irrevocable within 45 days after the Participant’s Termination Date. If the Participant fails to timely satisfy this release requirement, then notwithstanding any other provision of this Agreement, the RSUs that would otherwise be settled under this paragraph on or after the Participant’s Termination Date will instead be forfeited, and the Participant will have no further rights with respect thereto; and</w:t>
      </w:r>
    </w:p>
    <w:p>
      <w:pPr>
        <w:spacing w:after="0" w:line="151" w:lineRule="exact"/>
        <w:rPr>
          <w:rFonts w:ascii="Times New Roman" w:cs="Times New Roman" w:eastAsia="Times New Roman" w:hAnsi="Times New Roman"/>
          <w:sz w:val="22"/>
          <w:szCs w:val="22"/>
          <w:color w:val="010000"/>
        </w:rPr>
      </w:pPr>
    </w:p>
    <w:p>
      <w:pPr>
        <w:ind w:left="660" w:firstLine="1292"/>
        <w:spacing w:after="0" w:line="238" w:lineRule="auto"/>
        <w:tabs>
          <w:tab w:leader="none" w:pos="2604"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RSUs vesting under Section 3(a)(iv)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involuntary termination following a Change in Control) one Share shall be delivered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2"/>
          <w:szCs w:val="22"/>
          <w:color w:val="auto"/>
        </w:rPr>
        <w:t>respect of each RSU then vesting within sixty (60) days of Participant’s Termination Date.</w:t>
      </w:r>
    </w:p>
    <w:p>
      <w:pPr>
        <w:spacing w:after="0" w:line="206" w:lineRule="exact"/>
        <w:rPr>
          <w:sz w:val="20"/>
          <w:szCs w:val="20"/>
          <w:color w:val="auto"/>
        </w:rPr>
      </w:pPr>
    </w:p>
    <w:p>
      <w:pPr>
        <w:jc w:val="both"/>
        <w:ind w:firstLine="1304"/>
        <w:spacing w:after="0" w:line="256" w:lineRule="auto"/>
        <w:tabs>
          <w:tab w:leader="none" w:pos="193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Upon the payment by the Company of any cash dividend or distribution with respect to its Shares, the Participant will then be entitled to an equivalent cash payment equal to the cash dividends or distributions that would then be payable with respect to a number of Shares equal to the number of outstanding RSUs then held by the Participant and subject to this Section 3 (whether or not then vested).</w:t>
      </w:r>
    </w:p>
    <w:p>
      <w:pPr>
        <w:spacing w:after="0" w:line="149" w:lineRule="exact"/>
        <w:rPr>
          <w:sz w:val="20"/>
          <w:szCs w:val="20"/>
          <w:color w:val="auto"/>
        </w:rPr>
      </w:pPr>
    </w:p>
    <w:p>
      <w:pPr>
        <w:ind w:left="1960" w:hanging="656"/>
        <w:spacing w:after="0"/>
        <w:tabs>
          <w:tab w:leader="none" w:pos="1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Outperformance Element</w:t>
      </w:r>
      <w:r>
        <w:rPr>
          <w:rFonts w:ascii="Times New Roman" w:cs="Times New Roman" w:eastAsia="Times New Roman" w:hAnsi="Times New Roman"/>
          <w:sz w:val="22"/>
          <w:szCs w:val="22"/>
          <w:color w:val="auto"/>
          <w:highlight w:val="white"/>
        </w:rPr>
        <w:t>.</w:t>
      </w:r>
    </w:p>
    <w:p>
      <w:pPr>
        <w:spacing w:after="0" w:line="206" w:lineRule="exact"/>
        <w:rPr>
          <w:sz w:val="20"/>
          <w:szCs w:val="20"/>
          <w:color w:val="auto"/>
        </w:rPr>
      </w:pPr>
    </w:p>
    <w:p>
      <w:pPr>
        <w:jc w:val="both"/>
        <w:ind w:firstLine="1304"/>
        <w:spacing w:after="0" w:line="257" w:lineRule="auto"/>
        <w:tabs>
          <w:tab w:leader="none" w:pos="193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Determination</w:t>
      </w:r>
      <w:r>
        <w:rPr>
          <w:rFonts w:ascii="Times New Roman" w:cs="Times New Roman" w:eastAsia="Times New Roman" w:hAnsi="Times New Roman"/>
          <w:sz w:val="22"/>
          <w:szCs w:val="22"/>
          <w:color w:val="auto"/>
        </w:rPr>
        <w:t>. Following the last day of the Performance Period and subject to the Participant’s continued employment through the last day of the Performance Period (except as provided in Section 4(c)(i)(A) or Section 4(d) below), the total number of RSUs earned under this Section 4 shall be calculated by the Committee as follows:</w:t>
      </w:r>
    </w:p>
    <w:p>
      <w:pPr>
        <w:spacing w:after="0" w:line="145"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each Performance Component, the total number of RSUs earned and issuable shall be equal to the product of (w) the Target Award Amount, multiplied by (x) the Outperformance Modifier, multiplied by (y) the Relative Weighting for such Performance Component, multiplied by (z) the Achievement Percentage for such Performance Component. The foregoing calculation shall be made promptly following the end of the Performance Period. In the event that the Company’s actual performance does not meet the target level for a Performance Component, no RSUs shall be earned in respect of that Performance Component.</w:t>
      </w:r>
    </w:p>
    <w:p>
      <w:pPr>
        <w:spacing w:after="0" w:line="152" w:lineRule="exact"/>
        <w:rPr>
          <w:rFonts w:ascii="Times New Roman" w:cs="Times New Roman" w:eastAsia="Times New Roman" w:hAnsi="Times New Roman"/>
          <w:sz w:val="22"/>
          <w:szCs w:val="22"/>
          <w:color w:val="010000"/>
        </w:rPr>
      </w:pPr>
    </w:p>
    <w:p>
      <w:pPr>
        <w:jc w:val="both"/>
        <w:ind w:left="660" w:firstLine="1292"/>
        <w:spacing w:after="0" w:line="220" w:lineRule="auto"/>
        <w:tabs>
          <w:tab w:leader="none" w:pos="2598"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levels of achievement with respect to any Performance Component shall be adjusted from time to time by the Committee as it deems equitable and necessary in light of acquisitions, dispositions and other non-routine and opportunistic expenses, transactions or extraordinary or one-time events that impact the Company’s operations or the measurement of any Performance Component.</w:t>
      </w:r>
    </w:p>
    <w:p>
      <w:pPr>
        <w:spacing w:after="0" w:line="179" w:lineRule="exact"/>
        <w:rPr>
          <w:rFonts w:ascii="Times New Roman" w:cs="Times New Roman" w:eastAsia="Times New Roman" w:hAnsi="Times New Roman"/>
          <w:sz w:val="22"/>
          <w:szCs w:val="22"/>
          <w:color w:val="010000"/>
        </w:rPr>
      </w:pPr>
    </w:p>
    <w:p>
      <w:pPr>
        <w:ind w:right="20" w:firstLine="1304"/>
        <w:spacing w:after="0" w:line="284" w:lineRule="auto"/>
        <w:tabs>
          <w:tab w:leader="none" w:pos="193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Sections 4(c)(i) and 4(c)(ii), the RSUs earned under Section 4(a) shall become vested as follows, subject to the Participant’s continued employment with the Company through the applicable vesting date:</w:t>
      </w:r>
    </w:p>
    <w:p>
      <w:pPr>
        <w:spacing w:after="0" w:line="11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50% of such earned RSUs shall vest on January 1, 2029; and</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50% of such earned RSUs shall vest on January 1, 2030.</w:t>
      </w:r>
    </w:p>
    <w:p>
      <w:pPr>
        <w:spacing w:after="0" w:line="20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Certain Termination Events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 Disability, Retirement</w:t>
      </w:r>
      <w:r>
        <w:rPr>
          <w:rFonts w:ascii="Times New Roman" w:cs="Times New Roman" w:eastAsia="Times New Roman" w:hAnsi="Times New Roman"/>
          <w:sz w:val="22"/>
          <w:szCs w:val="22"/>
          <w:color w:val="auto"/>
          <w:highlight w:val="white"/>
        </w:rPr>
        <w:t>. Notwithstanding the foregoing:</w:t>
      </w:r>
    </w:p>
    <w:p>
      <w:pPr>
        <w:spacing w:after="0" w:line="179" w:lineRule="exact"/>
        <w:rPr>
          <w:rFonts w:ascii="Times New Roman" w:cs="Times New Roman" w:eastAsia="Times New Roman" w:hAnsi="Times New Roman"/>
          <w:sz w:val="22"/>
          <w:szCs w:val="22"/>
          <w:color w:val="010000"/>
        </w:rPr>
      </w:pPr>
    </w:p>
    <w:p>
      <w:pPr>
        <w:jc w:val="both"/>
        <w:ind w:left="1300" w:firstLine="1300"/>
        <w:spacing w:after="0" w:line="215" w:lineRule="auto"/>
        <w:tabs>
          <w:tab w:leader="none" w:pos="3233"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 Qualifying Termination prior to the completion of the Performance Period, a portion of the RSUs subject to this Section 4 may be earned, with the actual number of earned RSUs determined based on actual performance through the end of the Performance Period. The number of earned RSUs calculated in accordance with this Section 4(c)(i)(A) will be pro-rated based on the number of days in the Performance Period completed prior to the Termination Date, and such pro-rated number of earned RSUs under the Award will be deemed vested in full and be settled pursuant to Section 4(f),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22"/>
          <w:szCs w:val="22"/>
          <w:color w:val="auto"/>
        </w:rPr>
        <w:t>with the “applicable vesting date” meaning the last day of the Performance Period.</w:t>
      </w:r>
    </w:p>
    <w:p>
      <w:pPr>
        <w:spacing w:after="0" w:line="179" w:lineRule="exact"/>
        <w:rPr>
          <w:sz w:val="20"/>
          <w:szCs w:val="20"/>
          <w:color w:val="auto"/>
        </w:rPr>
      </w:pPr>
    </w:p>
    <w:p>
      <w:pPr>
        <w:jc w:val="both"/>
        <w:ind w:left="1300" w:firstLine="1300"/>
        <w:spacing w:after="0" w:line="220" w:lineRule="auto"/>
        <w:tabs>
          <w:tab w:leader="none" w:pos="3235" w:val="left"/>
        </w:tabs>
        <w:numPr>
          <w:ilvl w:val="2"/>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 Qualifying Termination upon or after the completion of the Performance Period but prior to the last vesting date applicable under Section 4(b), all earned but otherwise unvested RSUs under this Section 4 will become vested in full and will be settled pursuant to Section 4(f), with the “applicable vesting date” meaning the Termination Date.</w:t>
      </w:r>
    </w:p>
    <w:p>
      <w:pPr>
        <w:spacing w:after="0" w:line="152" w:lineRule="exact"/>
        <w:rPr>
          <w:rFonts w:ascii="Times New Roman" w:cs="Times New Roman" w:eastAsia="Times New Roman" w:hAnsi="Times New Roman"/>
          <w:sz w:val="22"/>
          <w:szCs w:val="22"/>
          <w:color w:val="010000"/>
        </w:rPr>
      </w:pPr>
    </w:p>
    <w:p>
      <w:pPr>
        <w:jc w:val="both"/>
        <w:ind w:left="1300" w:firstLine="1300"/>
        <w:spacing w:after="0" w:line="224" w:lineRule="auto"/>
        <w:tabs>
          <w:tab w:leader="none" w:pos="3235" w:val="left"/>
        </w:tabs>
        <w:numPr>
          <w:ilvl w:val="2"/>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However, the vesting of any RSUs under this Section 4(c)(i) as a result of a Qualifying Termination described in parts (i) or (ii) of that definition (relating to termination after becoming Retirement Eligible or due to Disability) will be conditioned on the Participant’s execution of a general release of claims against the Company and its affiliates in a form reasonably prescribed by the Company, and on such release becoming irrevocable within 45 days after the Participant’s Termination Date. If the Participant fails to timely satisfy this release requirement, all RSUs otherwise vesting or remaining eligible to vest under this Section 4(c)(i) as a result of such termination will be forfeited, and the Participant will have no further rights with respect thereto.</w:t>
      </w:r>
    </w:p>
    <w:p>
      <w:pPr>
        <w:spacing w:after="0" w:line="150" w:lineRule="exact"/>
        <w:rPr>
          <w:rFonts w:ascii="Times New Roman" w:cs="Times New Roman" w:eastAsia="Times New Roman" w:hAnsi="Times New Roman"/>
          <w:sz w:val="21"/>
          <w:szCs w:val="21"/>
          <w:color w:val="010000"/>
        </w:rPr>
      </w:pPr>
    </w:p>
    <w:p>
      <w:pPr>
        <w:jc w:val="both"/>
        <w:ind w:left="660" w:firstLine="1292"/>
        <w:spacing w:after="0" w:line="212" w:lineRule="auto"/>
        <w:tabs>
          <w:tab w:leader="none" w:pos="2598"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Double Trigger Termination</w:t>
      </w:r>
      <w:r>
        <w:rPr>
          <w:rFonts w:ascii="Times New Roman" w:cs="Times New Roman" w:eastAsia="Times New Roman" w:hAnsi="Times New Roman"/>
          <w:sz w:val="22"/>
          <w:szCs w:val="22"/>
          <w:color w:val="auto"/>
          <w:highlight w:val="white"/>
        </w:rPr>
        <w:t>. In the event of a Double Trigger Termination upon or after the</w:t>
      </w:r>
      <w:r>
        <w:rPr>
          <w:rFonts w:ascii="Times New Roman" w:cs="Times New Roman" w:eastAsia="Times New Roman" w:hAnsi="Times New Roman"/>
          <w:sz w:val="22"/>
          <w:szCs w:val="22"/>
          <w:color w:val="auto"/>
        </w:rPr>
        <w:t xml:space="preserve"> completion of the Performance Period but prior to the last vesting date under Section 4(b), all earned but otherwise unvested RSUs under this Section 4 will become vested in full and will be settled pursuant to Section 4(f), with the “applicable vesting date” meaning the Termination Date; provided the Participant executes a general release of claims against the Company and its affiliates in a form reasonably prescribed by the Company and that release becomes irrevocable within 45 days after such termination. If the Participant fails to timely satisfy this release requirement, all </w:t>
      </w:r>
      <w:r>
        <w:rPr>
          <w:rFonts w:ascii="Times New Roman" w:cs="Times New Roman" w:eastAsia="Times New Roman" w:hAnsi="Times New Roman"/>
          <w:sz w:val="22"/>
          <w:szCs w:val="22"/>
          <w:color w:val="auto"/>
          <w:highlight w:val="white"/>
        </w:rPr>
        <w:t>RSUs otherwise vesting under this paragraph will be forfeited and the Participant will have no further rights with respect thereto.</w:t>
      </w:r>
    </w:p>
    <w:p>
      <w:pPr>
        <w:spacing w:after="0" w:line="156" w:lineRule="exact"/>
        <w:rPr>
          <w:rFonts w:ascii="Times New Roman" w:cs="Times New Roman" w:eastAsia="Times New Roman" w:hAnsi="Times New Roman"/>
          <w:sz w:val="22"/>
          <w:szCs w:val="22"/>
          <w:color w:val="010000"/>
        </w:rPr>
      </w:pPr>
    </w:p>
    <w:p>
      <w:pPr>
        <w:jc w:val="both"/>
        <w:ind w:left="660" w:firstLine="1292"/>
        <w:spacing w:after="0" w:line="217" w:lineRule="auto"/>
        <w:tabs>
          <w:tab w:leader="none" w:pos="2604"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Except as otherwise provided in Section 4(c)(i)(A) above, upon the Participant’s termination of employment with the Company, the Participant will forfeit all RSUs subject to this Section 4 (and all rights with respect thereto) that have not become vested as of or prior to such termination. In addition, if the termination is for Cause, all RSUs subject to this Section 4 (whether or not earned or vested) and any Shares underlying RSUs that have not yet been issued to the Participant shall then be automatically forfeited.</w:t>
      </w:r>
    </w:p>
    <w:p>
      <w:pPr>
        <w:spacing w:after="0" w:line="179" w:lineRule="exact"/>
        <w:rPr>
          <w:rFonts w:ascii="Times New Roman" w:cs="Times New Roman" w:eastAsia="Times New Roman" w:hAnsi="Times New Roman"/>
          <w:sz w:val="22"/>
          <w:szCs w:val="22"/>
          <w:color w:val="010000"/>
        </w:rPr>
      </w:pPr>
    </w:p>
    <w:p>
      <w:pPr>
        <w:jc w:val="both"/>
        <w:ind w:firstLine="1304"/>
        <w:spacing w:after="0" w:line="250" w:lineRule="auto"/>
        <w:tabs>
          <w:tab w:leader="none" w:pos="193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or Section 3(f)(ii)(B) of the Plan, in the event of a Change in Control prior to December 31, 2028, a portion of the RSUs subject to this Section 4 may be earned, with the actual number of earned RSUs determined based on actual performance through the end of the most recently completed fiscal quarter prior to such Change in Control, measured against the Performance Components as adjusted by the Committee in its discretion to reflect the abbreviation of the Performance Period. Such earned RSUs will then remain subject to the service-based vesting conditions set forth in Section 4(b) (subject to accelerated vesting under Section 4(c)(i) or 4(c)(ii) above or Section 3(f)(ii)(A) of the Plan, if applicable).</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19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xml:space="preserve"> Upon the payment by the Company of any cash dividend or distribution with respect to its Shares, the Participant will then be entitled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-3585210</wp:posOffset>
            </wp:positionV>
            <wp:extent cx="6720840" cy="694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72084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69" w:name="page70"/>
    <w:bookmarkEnd w:id="69"/>
    <w:p>
      <w:pPr>
        <w:jc w:val="both"/>
        <w:spacing w:after="0" w:line="295" w:lineRule="auto"/>
        <w:rPr>
          <w:sz w:val="20"/>
          <w:szCs w:val="20"/>
          <w:color w:val="auto"/>
        </w:rPr>
      </w:pPr>
      <w:r>
        <w:rPr>
          <w:rFonts w:ascii="Times New Roman" w:cs="Times New Roman" w:eastAsia="Times New Roman" w:hAnsi="Times New Roman"/>
          <w:sz w:val="21"/>
          <w:szCs w:val="21"/>
          <w:color w:val="auto"/>
        </w:rPr>
        <w:t>equivalent cash payment equal to the cash dividends or distributions that would then be payable with respect to a number of Shares equal to the number of earned RSUs then held by the Participant and subject to this Section 4 (whether or not then vested).</w:t>
      </w:r>
    </w:p>
    <w:p>
      <w:pPr>
        <w:spacing w:after="0" w:line="135" w:lineRule="exact"/>
        <w:rPr>
          <w:sz w:val="20"/>
          <w:szCs w:val="20"/>
          <w:color w:val="auto"/>
        </w:rPr>
      </w:pPr>
    </w:p>
    <w:p>
      <w:pPr>
        <w:jc w:val="both"/>
        <w:ind w:firstLine="1304"/>
        <w:spacing w:after="0" w:line="263" w:lineRule="auto"/>
        <w:tabs>
          <w:tab w:leader="none" w:pos="193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Upon the vesting of an earned RSU subject to this Section 4, one Share shall be delivered in respect of each RSU then vesting not later than 60 days following the applicable vesting date (subject to Section 4(g) (regarding Share availability) and to any delay required under Section 5(i) (regarding Section 409A)).</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Availability</w:t>
      </w:r>
      <w:r>
        <w:rPr>
          <w:rFonts w:ascii="Times New Roman" w:cs="Times New Roman" w:eastAsia="Times New Roman" w:hAnsi="Times New Roman"/>
          <w:sz w:val="22"/>
          <w:szCs w:val="22"/>
          <w:color w:val="auto"/>
        </w:rPr>
        <w:t>. Notwithstanding any other provision of this Agreement or the Award Certificate, Shares will be delivered in respect of earned RSUs subject to this Section 4 only to the extent that Shares then remain available for issuance under the Plan. If the total number of Shares to be delivered as of any applicable vesting date exceeds the number of Shares then available for issuance under the Plan, the available Shares will be allocated ratably among the Participant and the other holders of similar awards then subject to settlement, based on the proportion that each holder’s number of earned RSUs then subject to settlement bears to the aggregate number of all holders’ earned RSUs then subject to settlement. Such ratable allocation of Shares will constitute a full satisfaction of the Participant’s rights in respect of his or her earned RSUs then subject to settlement hereunder.</w:t>
      </w:r>
    </w:p>
    <w:p>
      <w:pPr>
        <w:spacing w:after="0" w:line="142" w:lineRule="exact"/>
        <w:rPr>
          <w:sz w:val="20"/>
          <w:szCs w:val="20"/>
          <w:color w:val="auto"/>
        </w:rPr>
      </w:pPr>
    </w:p>
    <w:p>
      <w:pPr>
        <w:ind w:left="1960" w:hanging="656"/>
        <w:spacing w:after="0"/>
        <w:tabs>
          <w:tab w:leader="none" w:pos="1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jc w:val="both"/>
        <w:ind w:left="660" w:firstLine="644"/>
        <w:spacing w:after="0" w:line="210" w:lineRule="auto"/>
        <w:tabs>
          <w:tab w:leader="none" w:pos="1953"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Deferrals</w:t>
      </w:r>
      <w:r>
        <w:rPr>
          <w:rFonts w:ascii="Times New Roman" w:cs="Times New Roman" w:eastAsia="Times New Roman" w:hAnsi="Times New Roman"/>
          <w:sz w:val="22"/>
          <w:szCs w:val="22"/>
          <w:color w:val="auto"/>
          <w:highlight w:val="white"/>
        </w:rPr>
        <w:t>. To the extent provided under the Deferred Compensation Plan and timely elected in accordance</w:t>
      </w:r>
      <w:r>
        <w:rPr>
          <w:rFonts w:ascii="Times New Roman" w:cs="Times New Roman" w:eastAsia="Times New Roman" w:hAnsi="Times New Roman"/>
          <w:sz w:val="22"/>
          <w:szCs w:val="22"/>
          <w:color w:val="auto"/>
        </w:rPr>
        <w:t xml:space="preserve"> with Section 409A, the Participant may elect to defer receipt of Shares hereunder (and dividends payable on those Shares following the date they would otherwise have been issued). In the event of such a deferral, the time for Share issuance and dividend payment will be governed by the Deferred Compensation Plan and not this Agreement. However, for avoidance of doubt, dividend equivalent amounts payable under Section 3(c) or 4(e) prior to the date the related Shares are (or absent a deferral election, would have been) issued hereunder may not be deferred and will in any case be paid at the </w:t>
      </w:r>
      <w:r>
        <w:rPr>
          <w:rFonts w:ascii="Times New Roman" w:cs="Times New Roman" w:eastAsia="Times New Roman" w:hAnsi="Times New Roman"/>
          <w:sz w:val="22"/>
          <w:szCs w:val="22"/>
          <w:color w:val="auto"/>
          <w:highlight w:val="white"/>
        </w:rPr>
        <w:t>times specified in Section 3(c) or 4(e), as applicable.</w:t>
      </w:r>
    </w:p>
    <w:p>
      <w:pPr>
        <w:spacing w:after="0" w:line="154"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1"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Agreement Subject to Plan; Amendment</w:t>
      </w:r>
      <w:r>
        <w:rPr>
          <w:rFonts w:ascii="Times New Roman" w:cs="Times New Roman" w:eastAsia="Times New Roman" w:hAnsi="Times New Roman"/>
          <w:sz w:val="22"/>
          <w:szCs w:val="22"/>
          <w:color w:val="auto"/>
          <w:highlight w:val="white"/>
        </w:rPr>
        <w:t>. By entering into this Agreement, the Participant agrees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acknowledges that the Participant has received and read a copy of the Plan. This Award is subject to the Plan and the terms and provisions of the Plan are hereby incorporated herein by reference. The terms of the Agreement and the Award Certificate may be amended from time to time by the Committee in its sole discretion in any manner that it deems appropriate; provided, that any such amendment that would materially and adversely affect any right of the Participant shall not to that extent be effective without the consent of the Participant.</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3" w:lineRule="auto"/>
        <w:tabs>
          <w:tab w:leader="none" w:pos="1953"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Participant is Unsecured General Creditor</w:t>
      </w:r>
      <w:r>
        <w:rPr>
          <w:rFonts w:ascii="Times New Roman" w:cs="Times New Roman" w:eastAsia="Times New Roman" w:hAnsi="Times New Roman"/>
          <w:sz w:val="22"/>
          <w:szCs w:val="22"/>
          <w:color w:val="auto"/>
          <w:highlight w:val="white"/>
        </w:rPr>
        <w:t>. The Participant and the Participant’s heirs, successors, and</w:t>
      </w:r>
      <w:r>
        <w:rPr>
          <w:rFonts w:ascii="Times New Roman" w:cs="Times New Roman" w:eastAsia="Times New Roman" w:hAnsi="Times New Roman"/>
          <w:sz w:val="22"/>
          <w:szCs w:val="22"/>
          <w:color w:val="auto"/>
        </w:rPr>
        <w:t xml:space="preserve"> assigns shall have no legal or equitable rights, interest, or claims in any specific property or assets of the Company. Assets of the Company shall not be held under any trust for the benefit of the Participant or the Participant’s heirs, successors, or assigns, or held in any way as collateral security for the fulfilling of the obligations of the Company under the Agreement or the Plan. Any and all of the Company’s assets shall be, and remain, the general unrestricted assets of the Company. The </w:t>
      </w:r>
      <w:r>
        <w:rPr>
          <w:rFonts w:ascii="Times New Roman" w:cs="Times New Roman" w:eastAsia="Times New Roman" w:hAnsi="Times New Roman"/>
          <w:sz w:val="22"/>
          <w:szCs w:val="22"/>
          <w:color w:val="auto"/>
          <w:highlight w:val="white"/>
        </w:rPr>
        <w:t>Company’s sole obligation under this Agreement and in respect of the Award shall be merely that of an unfunded and unsecured promise of the Company to pay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-2900045</wp:posOffset>
            </wp:positionV>
            <wp:extent cx="6711950" cy="694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711950" cy="6946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-842645</wp:posOffset>
            </wp:positionV>
            <wp:extent cx="6711950" cy="557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7119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Participant in the future, subject to the conditions and provisions of the Agreement and the Plan.</w:t>
      </w:r>
    </w:p>
    <w:p>
      <w:pPr>
        <w:spacing w:after="0" w:line="179" w:lineRule="exact"/>
        <w:rPr>
          <w:sz w:val="20"/>
          <w:szCs w:val="20"/>
          <w:color w:val="auto"/>
        </w:rPr>
      </w:pPr>
    </w:p>
    <w:p>
      <w:pPr>
        <w:jc w:val="both"/>
        <w:ind w:firstLine="644"/>
        <w:spacing w:after="0" w:line="212" w:lineRule="auto"/>
        <w:tabs>
          <w:tab w:leader="none" w:pos="1291"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Transferability; No Assignment</w:t>
      </w:r>
      <w:r>
        <w:rPr>
          <w:rFonts w:ascii="Times New Roman" w:cs="Times New Roman" w:eastAsia="Times New Roman" w:hAnsi="Times New Roman"/>
          <w:sz w:val="22"/>
          <w:szCs w:val="22"/>
          <w:color w:val="auto"/>
          <w:highlight w:val="white"/>
        </w:rPr>
        <w:t>. Neither the Participant nor any other person shall have any right to</w:t>
      </w:r>
      <w:r>
        <w:rPr>
          <w:rFonts w:ascii="Times New Roman" w:cs="Times New Roman" w:eastAsia="Times New Roman" w:hAnsi="Times New Roman"/>
          <w:sz w:val="22"/>
          <w:szCs w:val="22"/>
          <w:color w:val="auto"/>
        </w:rPr>
        <w:t xml:space="preserve"> commute, sell, assign, transfer, pledge, anticipate, mortgage or otherwise encumber, transfer, hypothecate, alienate or convey in advance of actual receipt, the Award or the RSUs. No part of the RSUs or the Shares delivered in respect of any vested RSUs, and/or amounts payable under this Agreement shall, prior to actual settlement or payment, be subject to seizure, attachment, garnishment or sequestration for the payment of any debts, judgments, alimony or separate </w:t>
      </w:r>
      <w:r>
        <w:rPr>
          <w:rFonts w:ascii="Times New Roman" w:cs="Times New Roman" w:eastAsia="Times New Roman" w:hAnsi="Times New Roman"/>
          <w:sz w:val="22"/>
          <w:szCs w:val="22"/>
          <w:color w:val="auto"/>
          <w:highlight w:val="white"/>
        </w:rPr>
        <w:t>maintenance owed by the Participant or any other person, be transferable by operation of law in the event of the Participant’s or any other person’s bankruptcy or insolvency or be transferable to a spouse as a result of a property settlement or otherwise.</w:t>
      </w:r>
    </w:p>
    <w:p>
      <w:pPr>
        <w:spacing w:after="0" w:line="156" w:lineRule="exact"/>
        <w:rPr>
          <w:rFonts w:ascii="Times New Roman" w:cs="Times New Roman" w:eastAsia="Times New Roman" w:hAnsi="Times New Roman"/>
          <w:sz w:val="22"/>
          <w:szCs w:val="22"/>
          <w:color w:val="010000"/>
        </w:rPr>
      </w:pPr>
    </w:p>
    <w:p>
      <w:pPr>
        <w:jc w:val="both"/>
        <w:ind w:firstLine="644"/>
        <w:spacing w:after="0" w:line="217" w:lineRule="auto"/>
        <w:tabs>
          <w:tab w:leader="none" w:pos="1293"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Neither the Plan nor this Agreement nor the Participant’s receipt of this Award (or Shares issued in settlement of the Award) shall impose any obligation on the Company or any Affiliate to continue the employment of the Participant. Further, the Company or any Affiliate (as applicable) may at any time terminate the employment of such Participant, free from any liability or claim under the Plan or this Agreement, except as otherwise expressly provided herein.</w:t>
      </w:r>
    </w:p>
    <w:p>
      <w:pPr>
        <w:spacing w:after="0" w:line="152" w:lineRule="exact"/>
        <w:rPr>
          <w:rFonts w:ascii="Times New Roman" w:cs="Times New Roman" w:eastAsia="Times New Roman" w:hAnsi="Times New Roman"/>
          <w:sz w:val="22"/>
          <w:szCs w:val="22"/>
          <w:color w:val="010000"/>
        </w:rPr>
      </w:pPr>
    </w:p>
    <w:p>
      <w:pPr>
        <w:jc w:val="both"/>
        <w:ind w:firstLine="644"/>
        <w:spacing w:after="0" w:line="220" w:lineRule="auto"/>
        <w:tabs>
          <w:tab w:leader="none" w:pos="12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Shareholder Rights</w:t>
      </w:r>
      <w:r>
        <w:rPr>
          <w:rFonts w:ascii="Times New Roman" w:cs="Times New Roman" w:eastAsia="Times New Roman" w:hAnsi="Times New Roman"/>
          <w:sz w:val="22"/>
          <w:szCs w:val="22"/>
          <w:color w:val="auto"/>
        </w:rPr>
        <w:t>. The Participant shall have no rights as a shareholder of the Company, no rights to dividends or distributions (subject to the right to receive dividend equivalent payment as set forth in Section 3(c) or 4(e)) and no voting rights with respect to the RSUs and any Shares underlying or issuable in respect of such RSUs until such Shares are actually issued to and held of record by the Participant.</w:t>
      </w:r>
    </w:p>
    <w:p>
      <w:pPr>
        <w:spacing w:after="0" w:line="152" w:lineRule="exact"/>
        <w:rPr>
          <w:rFonts w:ascii="Times New Roman" w:cs="Times New Roman" w:eastAsia="Times New Roman" w:hAnsi="Times New Roman"/>
          <w:sz w:val="22"/>
          <w:szCs w:val="22"/>
          <w:color w:val="010000"/>
        </w:rPr>
      </w:pPr>
    </w:p>
    <w:p>
      <w:pPr>
        <w:ind w:left="1280" w:hanging="636"/>
        <w:spacing w:after="0"/>
        <w:tabs>
          <w:tab w:leader="none" w:pos="128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292"/>
        <w:spacing w:after="0" w:line="217" w:lineRule="auto"/>
        <w:tabs>
          <w:tab w:leader="none" w:pos="1932"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Regardless of any action the Company takes with respect to any or all federal, state or local income tax, employment tax or other tax related items with respect to this Award (“</w:t>
      </w:r>
      <w:r>
        <w:rPr>
          <w:rFonts w:ascii="Times New Roman" w:cs="Times New Roman" w:eastAsia="Times New Roman" w:hAnsi="Times New Roman"/>
          <w:sz w:val="22"/>
          <w:szCs w:val="22"/>
          <w:u w:val="single" w:color="auto"/>
          <w:color w:val="auto"/>
        </w:rPr>
        <w:t>Tax Related Items</w:t>
      </w:r>
      <w:r>
        <w:rPr>
          <w:rFonts w:ascii="Times New Roman" w:cs="Times New Roman" w:eastAsia="Times New Roman" w:hAnsi="Times New Roman"/>
          <w:sz w:val="22"/>
          <w:szCs w:val="22"/>
          <w:color w:val="auto"/>
        </w:rPr>
        <w:t>”), Participant acknowledges that he or she retains ultimate liability for all Tax Related Items and that the Company: (A) makes no representations or undertakings regarding any Tax Related Item; and (B) does not commit to structure the terms of this Award to minimize Participant’s liability for Tax Related Items.</w:t>
      </w:r>
    </w:p>
    <w:p>
      <w:pPr>
        <w:spacing w:after="0" w:line="152" w:lineRule="exact"/>
        <w:rPr>
          <w:rFonts w:ascii="Times New Roman" w:cs="Times New Roman" w:eastAsia="Times New Roman" w:hAnsi="Times New Roman"/>
          <w:sz w:val="22"/>
          <w:szCs w:val="22"/>
          <w:color w:val="010000"/>
        </w:rPr>
      </w:pPr>
    </w:p>
    <w:p>
      <w:pPr>
        <w:jc w:val="both"/>
        <w:ind w:firstLine="1292"/>
        <w:spacing w:after="0" w:line="215" w:lineRule="auto"/>
        <w:tabs>
          <w:tab w:leader="none" w:pos="1938"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the relevant taxable event, the Participant shall pay or make arrangements satisfactory to the Company, in its sole discretion, to satisfy all withholding obligations arising in connection with this Award. In this regard, the Participant authorizes the Company, in its sole discretion, to satisfy any withholding obligations arising in connection with this Award by withholding Shares otherwise issuable hereunder. The Participant shall pay to the Company any amount required to be withheld in connection with this Award that is not satisfied by the previously described method.</w:t>
      </w:r>
    </w:p>
    <w:p>
      <w:pPr>
        <w:spacing w:after="0" w:line="152" w:lineRule="exact"/>
        <w:rPr>
          <w:rFonts w:ascii="Times New Roman" w:cs="Times New Roman" w:eastAsia="Times New Roman" w:hAnsi="Times New Roman"/>
          <w:sz w:val="22"/>
          <w:szCs w:val="22"/>
          <w:color w:val="010000"/>
        </w:rPr>
      </w:pPr>
    </w:p>
    <w:p>
      <w:pPr>
        <w:jc w:val="both"/>
        <w:ind w:firstLine="644"/>
        <w:spacing w:after="0" w:line="215" w:lineRule="auto"/>
        <w:tabs>
          <w:tab w:leader="none" w:pos="1291"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Recovery Policy</w:t>
      </w:r>
      <w:r>
        <w:rPr>
          <w:rFonts w:ascii="Times New Roman" w:cs="Times New Roman" w:eastAsia="Times New Roman" w:hAnsi="Times New Roman"/>
          <w:sz w:val="22"/>
          <w:szCs w:val="22"/>
          <w:color w:val="auto"/>
          <w:highlight w:val="white"/>
        </w:rPr>
        <w:t>. In consideration for the grant of this Award, the Participant agrees to be</w:t>
      </w:r>
      <w:r>
        <w:rPr>
          <w:rFonts w:ascii="Times New Roman" w:cs="Times New Roman" w:eastAsia="Times New Roman" w:hAnsi="Times New Roman"/>
          <w:sz w:val="22"/>
          <w:szCs w:val="22"/>
          <w:color w:val="auto"/>
        </w:rPr>
        <w:t xml:space="preserve"> subject to (a) any compensation clawback, recoupment or similar policies of the Company that may be in effect from time to time, whether adopted before or after the date of this Award (including, without limitation, any clawback policy adopted to comply with the requirements of the Dodd-Frank Wall Street Reform and Consumer Protection Act and any rules or regulations promulgated thereunder), and (b) such other compensation clawbacks as may be required by </w:t>
      </w:r>
      <w:r>
        <w:rPr>
          <w:rFonts w:ascii="Times New Roman" w:cs="Times New Roman" w:eastAsia="Times New Roman" w:hAnsi="Times New Roman"/>
          <w:sz w:val="22"/>
          <w:szCs w:val="22"/>
          <w:color w:val="auto"/>
          <w:highlight w:val="white"/>
        </w:rPr>
        <w:t>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-5508625</wp:posOffset>
            </wp:positionV>
            <wp:extent cx="6720840" cy="557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720840"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-708025</wp:posOffset>
            </wp:positionV>
            <wp:extent cx="6720840" cy="557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7208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0"/>
          </w:cols>
          <w:pgMar w:left="980" w:top="1395" w:right="339" w:bottom="1440" w:gutter="0" w:footer="0" w:header="0"/>
        </w:sectPr>
      </w:pPr>
    </w:p>
    <w:bookmarkStart w:id="71" w:name="page72"/>
    <w:bookmarkEnd w:id="71"/>
    <w:p>
      <w:pPr>
        <w:ind w:right="20"/>
        <w:spacing w:after="0" w:line="236" w:lineRule="auto"/>
        <w:rPr>
          <w:sz w:val="20"/>
          <w:szCs w:val="20"/>
          <w:color w:val="auto"/>
        </w:rPr>
      </w:pPr>
      <w:r>
        <w:rPr>
          <w:rFonts w:ascii="Times New Roman" w:cs="Times New Roman" w:eastAsia="Times New Roman" w:hAnsi="Times New Roman"/>
          <w:sz w:val="22"/>
          <w:szCs w:val="22"/>
          <w:color w:val="auto"/>
        </w:rPr>
        <w:t>law ((a) and (b) together, the “</w:t>
      </w: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The Participant acknowledges that the Clawback Provisions are not limited in their application to the Award, or to amounts received in connection with the Award.</w:t>
      </w:r>
    </w:p>
    <w:p>
      <w:pPr>
        <w:spacing w:after="0" w:line="150" w:lineRule="exact"/>
        <w:rPr>
          <w:sz w:val="20"/>
          <w:szCs w:val="20"/>
          <w:color w:val="auto"/>
        </w:rPr>
      </w:pPr>
    </w:p>
    <w:p>
      <w:pPr>
        <w:jc w:val="both"/>
        <w:ind w:firstLine="644"/>
        <w:spacing w:after="0" w:line="225" w:lineRule="auto"/>
        <w:tabs>
          <w:tab w:leader="none" w:pos="1284"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Company Policies</w:t>
      </w:r>
      <w:r>
        <w:rPr>
          <w:rFonts w:ascii="Times New Roman" w:cs="Times New Roman" w:eastAsia="Times New Roman" w:hAnsi="Times New Roman"/>
          <w:sz w:val="22"/>
          <w:szCs w:val="22"/>
          <w:color w:val="auto"/>
          <w:highlight w:val="white"/>
        </w:rPr>
        <w:t>. The Participant agrees, in consideration for the grant of this Award, to be 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to any policies of the Company and its Affiliates regarding share ownership, securities trading and hedging or pledging of securities that may be in effect from time to time.</w:t>
      </w:r>
    </w:p>
    <w:p>
      <w:pPr>
        <w:spacing w:after="0" w:line="152" w:lineRule="exact"/>
        <w:rPr>
          <w:rFonts w:ascii="Times New Roman" w:cs="Times New Roman" w:eastAsia="Times New Roman" w:hAnsi="Times New Roman"/>
          <w:sz w:val="22"/>
          <w:szCs w:val="22"/>
          <w:color w:val="010000"/>
        </w:rPr>
      </w:pPr>
    </w:p>
    <w:p>
      <w:pPr>
        <w:jc w:val="both"/>
        <w:ind w:firstLine="644"/>
        <w:spacing w:after="0" w:line="215" w:lineRule="auto"/>
        <w:tabs>
          <w:tab w:leader="none" w:pos="1284"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 Compliance</w:t>
      </w:r>
      <w:r>
        <w:rPr>
          <w:rFonts w:ascii="Times New Roman" w:cs="Times New Roman" w:eastAsia="Times New Roman" w:hAnsi="Times New Roman"/>
          <w:sz w:val="21"/>
          <w:szCs w:val="21"/>
          <w:color w:val="auto"/>
        </w:rPr>
        <w:t>. The Award and the Shares and amounts payable under this Agreement are intended to comply with or be exempt from the requirements of Section 409A so as to prevent the inclusion in gross income of any benefits accrued hereunder in a taxable year prior to the taxable year or years in which such amount would otherwise be actually distributed or made available to the Participant. The Agreement should be administered and interpreted to the extent possible in a manner consistent with that intent. Notwithstanding any other provision of this Agreement, if the Participant is a “specified employee” within the meaning of Section 409A, no payments in respect of any Award or RSU that is “deferred compensation” subject to Section 409A and which would otherwise be payable upon the Participant’s “separation from service” (as defined in Section 409A) shall be made to such Participant prior to the date that is six months after the date of the Participant’s “separation from service” or, if earlier, the Participant’s date of death. Following any applicable six month delay, all such delayed payments will be paid in a single lump sum on the earliest date permitted under Section 409A that is also a business day. To the extent any payment under this Award is conditioned on the effectiveness of a release of claims and the period the Participant is afforded to consider the release spans two calendar years, payment will be made in the second calendar year. Each payment in any series of installments hereunder will be treated as a separate payment for purposes of Section 409A. The Participant is solely responsible and liable for the satisfaction of all taxes and penalties under Section 409A that may be imposed on or in respect of the Participant in connection with this Agreement, and the Company shall not be liable to any Participant for any payment made under this Agreement that is determined to result in an additional tax, penalty or interest under Section 409A, nor for reporting in good faith any payment made under this Agreement as an amount includible in gross income under Section 409A. Notwithstanding any contrary provision of the Plan or this Agreement: (i) the delivery of Shares hereunder may only be accelerated to the extent permitted under Section 409A, and (ii) to the extent provided in Prop. Treas. Reg. § 1.409A-1(b)</w:t>
      </w:r>
    </w:p>
    <w:p>
      <w:pPr>
        <w:spacing w:after="0" w:line="17" w:lineRule="exact"/>
        <w:rPr>
          <w:rFonts w:ascii="Times New Roman" w:cs="Times New Roman" w:eastAsia="Times New Roman" w:hAnsi="Times New Roman"/>
          <w:sz w:val="21"/>
          <w:szCs w:val="21"/>
          <w:color w:val="010000"/>
        </w:rPr>
      </w:pPr>
    </w:p>
    <w:p>
      <w:pPr>
        <w:jc w:val="both"/>
        <w:spacing w:after="0" w:line="212"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(4)(ii), Treas. Reg. § 1.409A-2(b)(7)(ii) or any successor provision, the Company may delay the delivery of Shares hereunder if it reasonably determines that such delivery would violate federal securities law or any other applicable law. For avoidance of doubt, if accelerated vesting of an RSU occurs due to application of Section 3(f)(ii)(A) of the Plan, such accelerated vesting will also accelerate settlement of that RSU only if that accelerated settlement will not violate Section 409A.</w:t>
      </w:r>
    </w:p>
    <w:p>
      <w:pPr>
        <w:spacing w:after="0" w:line="154" w:lineRule="exact"/>
        <w:rPr>
          <w:rFonts w:ascii="Times New Roman" w:cs="Times New Roman" w:eastAsia="Times New Roman" w:hAnsi="Times New Roman"/>
          <w:sz w:val="21"/>
          <w:szCs w:val="21"/>
          <w:color w:val="010000"/>
        </w:rPr>
      </w:pPr>
    </w:p>
    <w:p>
      <w:pPr>
        <w:jc w:val="both"/>
        <w:ind w:firstLine="644"/>
        <w:spacing w:after="0" w:line="215" w:lineRule="auto"/>
        <w:tabs>
          <w:tab w:leader="none" w:pos="1291"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Affiliate Service</w:t>
      </w:r>
      <w:r>
        <w:rPr>
          <w:rFonts w:ascii="Times New Roman" w:cs="Times New Roman" w:eastAsia="Times New Roman" w:hAnsi="Times New Roman"/>
          <w:sz w:val="22"/>
          <w:szCs w:val="22"/>
          <w:color w:val="auto"/>
        </w:rPr>
        <w:t>. Solely for purposes of the vesting provisions of this Award, service with the Company will be deemed to include service with an Affiliate, but only during the period of such affiliation. Solely for purposes of determining whether the Participant is Retirement Eligible, full-time service with an entity acquired by the Company or an Affiliate will be deemed to constitute full-time service with the Company, provided the Participant was in active service with the acquired entity at the time of the transaction and has continued in service with the Company without interruption since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395" w:right="339" w:bottom="1440" w:gutter="0" w:footer="0" w:header="0"/>
        </w:sectPr>
      </w:pPr>
    </w:p>
    <w:bookmarkStart w:id="72" w:name="page73"/>
    <w:bookmarkEnd w:id="72"/>
    <w:p>
      <w:pPr>
        <w:ind w:left="1280" w:hanging="636"/>
        <w:spacing w:after="0"/>
        <w:tabs>
          <w:tab w:leader="none" w:pos="1280"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Fractional Shares otherwise issuable hereunder will be rounded down to the nearest</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whole Share.</w:t>
      </w:r>
    </w:p>
    <w:p>
      <w:pPr>
        <w:spacing w:after="0" w:line="155"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84"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highlight w:val="white"/>
        </w:rPr>
        <w:t>. This Agreement, together with the Plan and Award Certificate, represent the entire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agreement between the parties with respect to the subject matter hereof and supersede any prior agreement, written or otherwise, relating to the subject matter hereof.</w:t>
      </w:r>
    </w:p>
    <w:p>
      <w:pPr>
        <w:spacing w:after="0" w:line="152" w:lineRule="exact"/>
        <w:rPr>
          <w:rFonts w:ascii="Times New Roman" w:cs="Times New Roman" w:eastAsia="Times New Roman" w:hAnsi="Times New Roman"/>
          <w:sz w:val="22"/>
          <w:szCs w:val="22"/>
          <w:color w:val="010000"/>
        </w:rPr>
      </w:pPr>
    </w:p>
    <w:p>
      <w:pPr>
        <w:jc w:val="both"/>
        <w:ind w:firstLine="644"/>
        <w:spacing w:after="0" w:line="225" w:lineRule="auto"/>
        <w:tabs>
          <w:tab w:leader="none" w:pos="129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Maryland applicable to contracts made and performed wholly within the State of Maryland, without giving effect to the conflict of law provisions thereof.</w:t>
      </w:r>
    </w:p>
    <w:p>
      <w:pPr>
        <w:spacing w:after="0" w:line="152" w:lineRule="exact"/>
        <w:rPr>
          <w:rFonts w:ascii="Times New Roman" w:cs="Times New Roman" w:eastAsia="Times New Roman" w:hAnsi="Times New Roman"/>
          <w:sz w:val="22"/>
          <w:szCs w:val="22"/>
          <w:color w:val="010000"/>
        </w:rPr>
      </w:pPr>
    </w:p>
    <w:p>
      <w:pPr>
        <w:jc w:val="both"/>
        <w:ind w:firstLine="644"/>
        <w:spacing w:after="0" w:line="211" w:lineRule="auto"/>
        <w:tabs>
          <w:tab w:leader="none" w:pos="1291"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Participant authorizes the Company and its Affiliates to deliver electronically any prospectuses or other documentation related to this Award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145" w:lineRule="exact"/>
        <w:rPr>
          <w:rFonts w:ascii="Times New Roman" w:cs="Times New Roman" w:eastAsia="Times New Roman" w:hAnsi="Times New Roman"/>
          <w:sz w:val="22"/>
          <w:szCs w:val="22"/>
          <w:color w:val="010000"/>
        </w:rPr>
      </w:pPr>
    </w:p>
    <w:p>
      <w:pPr>
        <w:ind w:left="1280" w:hanging="636"/>
        <w:spacing w:after="0"/>
        <w:tabs>
          <w:tab w:leader="none" w:pos="1280"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References</w:t>
      </w:r>
      <w:r>
        <w:rPr>
          <w:rFonts w:ascii="Times New Roman" w:cs="Times New Roman" w:eastAsia="Times New Roman" w:hAnsi="Times New Roman"/>
          <w:sz w:val="22"/>
          <w:szCs w:val="22"/>
          <w:color w:val="auto"/>
        </w:rPr>
        <w:t>. Unless other indicated, section references herein refer to the sections of this</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010000"/>
        </w:rPr>
      </w:pPr>
    </w:p>
    <w:p>
      <w:pPr>
        <w:ind w:left="4900" w:hanging="636"/>
        <w:spacing w:after="0"/>
        <w:tabs>
          <w:tab w:leader="none" w:pos="49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0"/>
          </w:cols>
          <w:pgMar w:left="980" w:top="138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2"/>
          <w:szCs w:val="22"/>
          <w:b w:val="1"/>
          <w:bCs w:val="1"/>
          <w:color w:val="auto"/>
        </w:rPr>
        <w:t>BRANDYWINE REALTY TRUST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CERTIFICATE</w:t>
      </w:r>
    </w:p>
    <w:p>
      <w:pPr>
        <w:spacing w:after="0" w:line="182" w:lineRule="exact"/>
        <w:rPr>
          <w:sz w:val="20"/>
          <w:szCs w:val="20"/>
          <w:color w:val="auto"/>
        </w:rPr>
      </w:pPr>
    </w:p>
    <w:p>
      <w:pPr>
        <w:ind w:right="480" w:firstLine="1304"/>
        <w:spacing w:after="0" w:line="236" w:lineRule="auto"/>
        <w:tabs>
          <w:tab w:leader="none" w:pos="194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Brandywine Realty Trust and the Participant who is signatory hereto, hereby agree to the terms of this Award Certificate and the Brandywine Realty Trust Restricted Stock Unit Award Agreement to which it is attached.</w:t>
      </w:r>
    </w:p>
    <w:p>
      <w:pPr>
        <w:spacing w:after="0" w:line="150" w:lineRule="exact"/>
        <w:rPr>
          <w:rFonts w:ascii="Times New Roman" w:cs="Times New Roman" w:eastAsia="Times New Roman" w:hAnsi="Times New Roman"/>
          <w:sz w:val="22"/>
          <w:szCs w:val="22"/>
          <w:color w:val="010000"/>
        </w:rPr>
      </w:pPr>
    </w:p>
    <w:p>
      <w:pPr>
        <w:ind w:right="100" w:firstLine="1304"/>
        <w:spacing w:after="0" w:line="236" w:lineRule="auto"/>
        <w:tabs>
          <w:tab w:leader="none" w:pos="194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terms of this Award Certificate, the Agreement, and the Plan, the Company hereby grants to the Participant as of the Effective Date, the Award on the terms set forth below:</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86"/>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22"/>
                <w:szCs w:val="22"/>
                <w:color w:val="auto"/>
                <w:w w:val="97"/>
              </w:rPr>
              <w:t>___________________</w:t>
            </w:r>
          </w:p>
        </w:tc>
        <w:tc>
          <w:tcPr>
            <w:tcW w:w="0" w:type="dxa"/>
            <w:vAlign w:val="bottom"/>
          </w:tcPr>
          <w:p>
            <w:pPr>
              <w:spacing w:after="0"/>
              <w:rPr>
                <w:sz w:val="1"/>
                <w:szCs w:val="1"/>
                <w:color w:val="auto"/>
              </w:rPr>
            </w:pPr>
          </w:p>
        </w:tc>
      </w:tr>
      <w:tr>
        <w:trPr>
          <w:trHeight w:val="52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Effective Date:</w:t>
            </w:r>
          </w:p>
        </w:tc>
        <w:tc>
          <w:tcPr>
            <w:tcW w:w="1200" w:type="dxa"/>
            <w:vAlign w:val="bottom"/>
          </w:tcPr>
          <w:p>
            <w:pPr>
              <w:spacing w:after="0"/>
              <w:rPr>
                <w:sz w:val="24"/>
                <w:szCs w:val="24"/>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February 27, 2026</w:t>
            </w:r>
          </w:p>
        </w:tc>
        <w:tc>
          <w:tcPr>
            <w:tcW w:w="0" w:type="dxa"/>
            <w:vAlign w:val="bottom"/>
          </w:tcPr>
          <w:p>
            <w:pPr>
              <w:spacing w:after="0"/>
              <w:rPr>
                <w:sz w:val="1"/>
                <w:szCs w:val="1"/>
                <w:color w:val="auto"/>
              </w:rPr>
            </w:pPr>
          </w:p>
        </w:tc>
      </w:tr>
      <w:tr>
        <w:trPr>
          <w:trHeight w:val="258"/>
        </w:trPr>
        <w:tc>
          <w:tcPr>
            <w:tcW w:w="37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Target Award Amount:</w:t>
            </w:r>
          </w:p>
        </w:tc>
        <w:tc>
          <w:tcPr>
            <w:tcW w:w="1200" w:type="dxa"/>
            <w:vAlign w:val="bottom"/>
            <w:vMerge w:val="restart"/>
          </w:tcPr>
          <w:p>
            <w:pPr>
              <w:spacing w:after="0"/>
              <w:rPr>
                <w:sz w:val="22"/>
                <w:szCs w:val="22"/>
                <w:color w:val="auto"/>
              </w:rPr>
            </w:pPr>
          </w:p>
        </w:tc>
        <w:tc>
          <w:tcPr>
            <w:tcW w:w="660" w:type="dxa"/>
            <w:vAlign w:val="bottom"/>
          </w:tcPr>
          <w:p>
            <w:pPr>
              <w:spacing w:after="0"/>
              <w:rPr>
                <w:sz w:val="22"/>
                <w:szCs w:val="22"/>
                <w:color w:val="auto"/>
              </w:rPr>
            </w:pPr>
          </w:p>
        </w:tc>
        <w:tc>
          <w:tcPr>
            <w:tcW w:w="14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RSUs</w:t>
            </w:r>
          </w:p>
        </w:tc>
        <w:tc>
          <w:tcPr>
            <w:tcW w:w="0" w:type="dxa"/>
            <w:vAlign w:val="bottom"/>
          </w:tcPr>
          <w:p>
            <w:pPr>
              <w:spacing w:after="0"/>
              <w:rPr>
                <w:sz w:val="1"/>
                <w:szCs w:val="1"/>
                <w:color w:val="auto"/>
              </w:rPr>
            </w:pPr>
          </w:p>
        </w:tc>
      </w:tr>
      <w:tr>
        <w:trPr>
          <w:trHeight w:val="229"/>
        </w:trPr>
        <w:tc>
          <w:tcPr>
            <w:tcW w:w="37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60" w:type="dxa"/>
            <w:vAlign w:val="bottom"/>
            <w:shd w:val="clear" w:color="auto" w:fill="FFFF00"/>
          </w:tcPr>
          <w:p>
            <w:pPr>
              <w:jc w:val="right"/>
              <w:spacing w:after="0" w:line="229" w:lineRule="exact"/>
              <w:rPr>
                <w:sz w:val="20"/>
                <w:szCs w:val="20"/>
                <w:color w:val="auto"/>
              </w:rPr>
            </w:pPr>
            <w:r>
              <w:rPr>
                <w:rFonts w:ascii="Times New Roman" w:cs="Times New Roman" w:eastAsia="Times New Roman" w:hAnsi="Times New Roman"/>
                <w:sz w:val="22"/>
                <w:szCs w:val="22"/>
                <w:color w:val="auto"/>
                <w:highlight w:val="yellow"/>
                <w:w w:val="96"/>
              </w:rPr>
              <w:t>______</w:t>
            </w: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7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Outperformance Modifier:</w:t>
            </w:r>
          </w:p>
        </w:tc>
        <w:tc>
          <w:tcPr>
            <w:tcW w:w="120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vMerge w:val="restart"/>
          </w:tcPr>
          <w:p>
            <w:pPr>
              <w:jc w:val="right"/>
              <w:ind w:right="1172"/>
              <w:spacing w:after="0"/>
              <w:rPr>
                <w:sz w:val="20"/>
                <w:szCs w:val="20"/>
                <w:color w:val="auto"/>
              </w:rPr>
            </w:pPr>
            <w:r>
              <w:rPr>
                <w:rFonts w:ascii="Times New Roman" w:cs="Times New Roman" w:eastAsia="Times New Roman" w:hAnsi="Times New Roman"/>
                <w:sz w:val="22"/>
                <w:szCs w:val="22"/>
                <w:color w:val="auto"/>
                <w:w w:val="87"/>
              </w:rPr>
              <w:t>%</w:t>
            </w:r>
          </w:p>
        </w:tc>
        <w:tc>
          <w:tcPr>
            <w:tcW w:w="0" w:type="dxa"/>
            <w:vAlign w:val="bottom"/>
          </w:tcPr>
          <w:p>
            <w:pPr>
              <w:spacing w:after="0"/>
              <w:rPr>
                <w:sz w:val="1"/>
                <w:szCs w:val="1"/>
                <w:color w:val="auto"/>
              </w:rPr>
            </w:pPr>
          </w:p>
        </w:tc>
      </w:tr>
      <w:tr>
        <w:trPr>
          <w:trHeight w:val="230"/>
        </w:trPr>
        <w:tc>
          <w:tcPr>
            <w:tcW w:w="37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660" w:type="dxa"/>
            <w:vAlign w:val="bottom"/>
            <w:shd w:val="clear" w:color="auto" w:fill="FFFF00"/>
          </w:tcPr>
          <w:p>
            <w:pPr>
              <w:jc w:val="right"/>
              <w:spacing w:after="0" w:line="229" w:lineRule="exact"/>
              <w:rPr>
                <w:sz w:val="20"/>
                <w:szCs w:val="20"/>
                <w:color w:val="auto"/>
              </w:rPr>
            </w:pPr>
            <w:r>
              <w:rPr>
                <w:rFonts w:ascii="Times New Roman" w:cs="Times New Roman" w:eastAsia="Times New Roman" w:hAnsi="Times New Roman"/>
                <w:sz w:val="22"/>
                <w:szCs w:val="22"/>
                <w:color w:val="auto"/>
                <w:highlight w:val="yellow"/>
                <w:w w:val="96"/>
              </w:rPr>
              <w:t>______</w:t>
            </w: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1960" w:hanging="656"/>
        <w:spacing w:after="0"/>
        <w:tabs>
          <w:tab w:leader="none" w:pos="1960"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Performance Components relevant under Section 4 of the Agreement are set forth below: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Performance Component #1: </w:t>
      </w:r>
      <w:r>
        <w:rPr>
          <w:rFonts w:ascii="Times New Roman" w:cs="Times New Roman" w:eastAsia="Times New Roman" w:hAnsi="Times New Roman"/>
          <w:sz w:val="22"/>
          <w:szCs w:val="22"/>
          <w:color w:val="auto"/>
        </w:rPr>
        <w:t>FFO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Period</w:t>
      </w:r>
      <w:r>
        <w:rPr>
          <w:rFonts w:ascii="Times New Roman" w:cs="Times New Roman" w:eastAsia="Times New Roman" w:hAnsi="Times New Roman"/>
          <w:sz w:val="22"/>
          <w:szCs w:val="22"/>
          <w:color w:val="auto"/>
        </w:rPr>
        <w:t>: January 1, 2026 to December 31, 2028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Relative Weighting: </w:t>
      </w:r>
      <w:r>
        <w:rPr>
          <w:rFonts w:ascii="Times New Roman" w:cs="Times New Roman" w:eastAsia="Times New Roman" w:hAnsi="Times New Roman"/>
          <w:sz w:val="22"/>
          <w:szCs w:val="22"/>
          <w:color w:val="auto"/>
        </w:rPr>
        <w:t>33%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Scale</w:t>
      </w:r>
      <w:r>
        <w:rPr>
          <w:rFonts w:ascii="Times New Roman" w:cs="Times New Roman" w:eastAsia="Times New Roman" w:hAnsi="Times New Roman"/>
          <w:sz w:val="22"/>
          <w:szCs w:val="22"/>
          <w:color w:val="auto"/>
        </w:rPr>
        <w:t>:</w:t>
      </w:r>
    </w:p>
    <w:p>
      <w:pPr>
        <w:spacing w:after="0" w:line="243" w:lineRule="exact"/>
        <w:rPr>
          <w:sz w:val="20"/>
          <w:szCs w:val="20"/>
          <w:color w:val="auto"/>
        </w:rPr>
      </w:pPr>
    </w:p>
    <w:tbl>
      <w:tblPr>
        <w:tblLayout w:type="fixed"/>
        <w:tblInd w:w="850" w:type="dxa"/>
        <w:tblCellMar>
          <w:top w:w="0" w:type="dxa"/>
          <w:left w:w="0" w:type="dxa"/>
          <w:bottom w:w="0" w:type="dxa"/>
          <w:right w:w="0" w:type="dxa"/>
        </w:tblCellMar>
      </w:tblPr>
      <w:tr>
        <w:trPr>
          <w:trHeight w:val="351"/>
        </w:trPr>
        <w:tc>
          <w:tcPr>
            <w:tcW w:w="2540" w:type="dxa"/>
            <w:vAlign w:val="bottom"/>
            <w:tcBorders>
              <w:top w:val="single" w:sz="8" w:color="auto"/>
              <w:left w:val="single" w:sz="8" w:color="auto"/>
              <w:bottom w:val="single" w:sz="8" w:color="EEECE1"/>
            </w:tcBorders>
            <w:shd w:val="clear" w:color="auto" w:fill="EEECE1"/>
          </w:tcPr>
          <w:p>
            <w:pPr>
              <w:spacing w:after="0"/>
              <w:rPr>
                <w:sz w:val="24"/>
                <w:szCs w:val="24"/>
                <w:color w:val="auto"/>
              </w:rPr>
            </w:pPr>
          </w:p>
        </w:tc>
        <w:tc>
          <w:tcPr>
            <w:tcW w:w="3440" w:type="dxa"/>
            <w:vAlign w:val="bottom"/>
            <w:tcBorders>
              <w:top w:val="single" w:sz="8" w:color="auto"/>
              <w:bottom w:val="single" w:sz="8" w:color="EEECE1"/>
              <w:right w:val="single" w:sz="8" w:color="auto"/>
            </w:tcBorders>
            <w:gridSpan w:val="2"/>
            <w:shd w:val="clear" w:color="auto" w:fill="EEECE1"/>
          </w:tcPr>
          <w:p>
            <w:pPr>
              <w:jc w:val="right"/>
              <w:ind w:right="2672"/>
              <w:spacing w:after="0"/>
              <w:rPr>
                <w:sz w:val="20"/>
                <w:szCs w:val="20"/>
                <w:color w:val="auto"/>
              </w:rPr>
            </w:pPr>
            <w:r>
              <w:rPr>
                <w:rFonts w:ascii="Times New Roman" w:cs="Times New Roman" w:eastAsia="Times New Roman" w:hAnsi="Times New Roman"/>
                <w:sz w:val="22"/>
                <w:szCs w:val="22"/>
                <w:b w:val="1"/>
                <w:bCs w:val="1"/>
                <w:color w:val="auto"/>
              </w:rPr>
              <w:t>FFO</w:t>
            </w:r>
          </w:p>
        </w:tc>
        <w:tc>
          <w:tcPr>
            <w:tcW w:w="35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Percentage of Component Earned</w:t>
            </w:r>
          </w:p>
        </w:tc>
      </w:tr>
      <w:tr>
        <w:trPr>
          <w:trHeight w:val="303"/>
        </w:trPr>
        <w:tc>
          <w:tcPr>
            <w:tcW w:w="2540" w:type="dxa"/>
            <w:vAlign w:val="bottom"/>
            <w:tcBorders>
              <w:top w:val="single" w:sz="8" w:color="auto"/>
              <w:left w:val="single" w:sz="8" w:color="auto"/>
            </w:tcBorders>
          </w:tcPr>
          <w:p>
            <w:pPr>
              <w:jc w:val="center"/>
              <w:ind w:left="252"/>
              <w:spacing w:after="0"/>
              <w:rPr>
                <w:sz w:val="20"/>
                <w:szCs w:val="20"/>
                <w:color w:val="auto"/>
              </w:rPr>
            </w:pPr>
            <w:r>
              <w:rPr>
                <w:rFonts w:ascii="Times New Roman" w:cs="Times New Roman" w:eastAsia="Times New Roman" w:hAnsi="Times New Roman"/>
                <w:sz w:val="22"/>
                <w:szCs w:val="22"/>
                <w:color w:val="auto"/>
                <w:w w:val="93"/>
              </w:rPr>
              <w:t>Target</w:t>
            </w:r>
          </w:p>
        </w:tc>
        <w:tc>
          <w:tcPr>
            <w:tcW w:w="360" w:type="dxa"/>
            <w:vAlign w:val="bottom"/>
            <w:tcBorders>
              <w:top w:val="single" w:sz="8" w:color="auto"/>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$1.85</w:t>
            </w:r>
          </w:p>
        </w:tc>
        <w:tc>
          <w:tcPr>
            <w:tcW w:w="3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9"/>
        </w:trPr>
        <w:tc>
          <w:tcPr>
            <w:tcW w:w="25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302"/>
        </w:trPr>
        <w:tc>
          <w:tcPr>
            <w:tcW w:w="2540" w:type="dxa"/>
            <w:vAlign w:val="bottom"/>
            <w:tcBorders>
              <w:left w:val="single" w:sz="8" w:color="auto"/>
            </w:tcBorders>
          </w:tcPr>
          <w:p>
            <w:pPr>
              <w:jc w:val="center"/>
              <w:ind w:left="252"/>
              <w:spacing w:after="0"/>
              <w:rPr>
                <w:sz w:val="20"/>
                <w:szCs w:val="20"/>
                <w:color w:val="auto"/>
              </w:rPr>
            </w:pPr>
            <w:r>
              <w:rPr>
                <w:rFonts w:ascii="Times New Roman" w:cs="Times New Roman" w:eastAsia="Times New Roman" w:hAnsi="Times New Roman"/>
                <w:sz w:val="22"/>
                <w:szCs w:val="22"/>
                <w:color w:val="auto"/>
                <w:w w:val="97"/>
              </w:rPr>
              <w:t>Above Target</w:t>
            </w:r>
          </w:p>
        </w:tc>
        <w:tc>
          <w:tcPr>
            <w:tcW w:w="36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$1.90</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9"/>
        </w:trPr>
        <w:tc>
          <w:tcPr>
            <w:tcW w:w="25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303"/>
        </w:trPr>
        <w:tc>
          <w:tcPr>
            <w:tcW w:w="2540" w:type="dxa"/>
            <w:vAlign w:val="bottom"/>
            <w:tcBorders>
              <w:left w:val="single" w:sz="8" w:color="auto"/>
            </w:tcBorders>
          </w:tcPr>
          <w:p>
            <w:pPr>
              <w:jc w:val="center"/>
              <w:ind w:left="252"/>
              <w:spacing w:after="0"/>
              <w:rPr>
                <w:sz w:val="20"/>
                <w:szCs w:val="20"/>
                <w:color w:val="auto"/>
              </w:rPr>
            </w:pPr>
            <w:r>
              <w:rPr>
                <w:rFonts w:ascii="Times New Roman" w:cs="Times New Roman" w:eastAsia="Times New Roman" w:hAnsi="Times New Roman"/>
                <w:sz w:val="22"/>
                <w:szCs w:val="22"/>
                <w:color w:val="auto"/>
                <w:w w:val="97"/>
              </w:rPr>
              <w:t>Maximum or above</w:t>
            </w:r>
          </w:p>
        </w:tc>
        <w:tc>
          <w:tcPr>
            <w:tcW w:w="36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color w:val="auto"/>
              </w:rPr>
              <w:t>$1.95</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8"/>
        </w:trPr>
        <w:tc>
          <w:tcPr>
            <w:tcW w:w="254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jc w:val="both"/>
        <w:ind w:left="660" w:hanging="4"/>
        <w:spacing w:after="0" w:line="262" w:lineRule="auto"/>
        <w:tabs>
          <w:tab w:leader="none" w:pos="130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FFO</w:t>
      </w:r>
      <w:r>
        <w:rPr>
          <w:rFonts w:ascii="Times New Roman" w:cs="Times New Roman" w:eastAsia="Times New Roman" w:hAnsi="Times New Roman"/>
          <w:sz w:val="21"/>
          <w:szCs w:val="21"/>
          <w:color w:val="auto"/>
          <w:highlight w:val="white"/>
        </w:rPr>
        <w:t>” means the Company’s cumulative FFO per share for the Performance Period, determined on a fully diluted</w:t>
      </w:r>
      <w:r>
        <w:rPr>
          <w:rFonts w:ascii="Times New Roman" w:cs="Times New Roman" w:eastAsia="Times New Roman" w:hAnsi="Times New Roman"/>
          <w:sz w:val="21"/>
          <w:szCs w:val="21"/>
          <w:color w:val="auto"/>
        </w:rPr>
        <w:t xml:space="preserve"> basis, with FFO as defined by the National Association of Real Estate Investment Trusts (“</w:t>
      </w:r>
      <w:r>
        <w:rPr>
          <w:rFonts w:ascii="Times New Roman" w:cs="Times New Roman" w:eastAsia="Times New Roman" w:hAnsi="Times New Roman"/>
          <w:sz w:val="21"/>
          <w:szCs w:val="21"/>
          <w:u w:val="single" w:color="auto"/>
          <w:color w:val="auto"/>
        </w:rPr>
        <w:t>NAREIT</w:t>
      </w:r>
      <w:r>
        <w:rPr>
          <w:rFonts w:ascii="Times New Roman" w:cs="Times New Roman" w:eastAsia="Times New Roman" w:hAnsi="Times New Roman"/>
          <w:sz w:val="21"/>
          <w:szCs w:val="21"/>
          <w:color w:val="auto"/>
        </w:rPr>
        <w:t>”) and interpreted by the Company, but adjusted to exclude (a) funds from operations allocable to unvested restricted share award holders, and</w:t>
      </w:r>
    </w:p>
    <w:p>
      <w:pPr>
        <w:spacing w:after="0" w:line="2" w:lineRule="exact"/>
        <w:rPr>
          <w:rFonts w:ascii="Times New Roman" w:cs="Times New Roman" w:eastAsia="Times New Roman" w:hAnsi="Times New Roman"/>
          <w:sz w:val="21"/>
          <w:szCs w:val="21"/>
          <w:color w:val="auto"/>
        </w:rPr>
      </w:pPr>
    </w:p>
    <w:p>
      <w:pPr>
        <w:jc w:val="both"/>
        <w:ind w:left="660" w:hanging="4"/>
        <w:spacing w:after="0" w:line="252" w:lineRule="auto"/>
        <w:tabs>
          <w:tab w:leader="none" w:pos="99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charges related to liability management transactions that result in make-whole/prepayment penalties and/or the accelerated amortization of deferred financing costs. These exceptions include transactions for both wholly-owned and joint venture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326232796v3</w:t>
      </w:r>
    </w:p>
    <w:p>
      <w:pPr>
        <w:sectPr>
          <w:pgSz w:w="11900" w:h="16838" w:orient="portrait"/>
          <w:cols w:equalWidth="0" w:num="1">
            <w:col w:w="11240"/>
          </w:cols>
          <w:pgMar w:left="320" w:top="14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i w:val="1"/>
          <w:iCs w:val="1"/>
          <w:color w:val="auto"/>
        </w:rPr>
        <w:t xml:space="preserve">Performance Component #2: </w:t>
      </w:r>
      <w:r>
        <w:rPr>
          <w:rFonts w:ascii="Times New Roman" w:cs="Times New Roman" w:eastAsia="Times New Roman" w:hAnsi="Times New Roman"/>
          <w:sz w:val="22"/>
          <w:szCs w:val="22"/>
          <w:color w:val="auto"/>
        </w:rPr>
        <w:t>Total Capital Market Activity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Period</w:t>
      </w:r>
      <w:r>
        <w:rPr>
          <w:rFonts w:ascii="Times New Roman" w:cs="Times New Roman" w:eastAsia="Times New Roman" w:hAnsi="Times New Roman"/>
          <w:sz w:val="22"/>
          <w:szCs w:val="22"/>
          <w:color w:val="auto"/>
        </w:rPr>
        <w:t>: January 1, 2026 to December 31, 2028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Relative Weighting: </w:t>
      </w:r>
      <w:r>
        <w:rPr>
          <w:rFonts w:ascii="Times New Roman" w:cs="Times New Roman" w:eastAsia="Times New Roman" w:hAnsi="Times New Roman"/>
          <w:sz w:val="22"/>
          <w:szCs w:val="22"/>
          <w:color w:val="auto"/>
        </w:rPr>
        <w:t>34%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Scale</w:t>
      </w:r>
      <w:r>
        <w:rPr>
          <w:rFonts w:ascii="Times New Roman" w:cs="Times New Roman" w:eastAsia="Times New Roman" w:hAnsi="Times New Roman"/>
          <w:sz w:val="22"/>
          <w:szCs w:val="22"/>
          <w:color w:val="auto"/>
        </w:rPr>
        <w:t>:</w:t>
      </w:r>
    </w:p>
    <w:p>
      <w:pPr>
        <w:spacing w:after="0" w:line="255" w:lineRule="exact"/>
        <w:rPr>
          <w:sz w:val="20"/>
          <w:szCs w:val="20"/>
          <w:color w:val="auto"/>
        </w:rPr>
      </w:pPr>
    </w:p>
    <w:tbl>
      <w:tblPr>
        <w:tblLayout w:type="fixed"/>
        <w:tblInd w:w="850" w:type="dxa"/>
        <w:tblCellMar>
          <w:top w:w="0" w:type="dxa"/>
          <w:left w:w="0" w:type="dxa"/>
          <w:bottom w:w="0" w:type="dxa"/>
          <w:right w:w="0" w:type="dxa"/>
        </w:tblCellMar>
      </w:tblPr>
      <w:tr>
        <w:trPr>
          <w:trHeight w:val="356"/>
        </w:trPr>
        <w:tc>
          <w:tcPr>
            <w:tcW w:w="5980" w:type="dxa"/>
            <w:vAlign w:val="bottom"/>
            <w:tcBorders>
              <w:top w:val="single" w:sz="8" w:color="auto"/>
              <w:left w:val="single" w:sz="8" w:color="auto"/>
              <w:bottom w:val="single" w:sz="8" w:color="EEECE1"/>
              <w:right w:val="single" w:sz="8" w:color="auto"/>
            </w:tcBorders>
            <w:gridSpan w:val="2"/>
            <w:shd w:val="clear" w:color="auto" w:fill="EEECE1"/>
          </w:tcPr>
          <w:p>
            <w:pPr>
              <w:jc w:val="right"/>
              <w:ind w:right="1512"/>
              <w:spacing w:after="0"/>
              <w:rPr>
                <w:sz w:val="20"/>
                <w:szCs w:val="20"/>
                <w:color w:val="auto"/>
              </w:rPr>
            </w:pPr>
            <w:r>
              <w:rPr>
                <w:rFonts w:ascii="Times New Roman" w:cs="Times New Roman" w:eastAsia="Times New Roman" w:hAnsi="Times New Roman"/>
                <w:sz w:val="22"/>
                <w:szCs w:val="22"/>
                <w:b w:val="1"/>
                <w:bCs w:val="1"/>
                <w:color w:val="auto"/>
              </w:rPr>
              <w:t>Total Capital Market Activity</w:t>
            </w:r>
          </w:p>
        </w:tc>
        <w:tc>
          <w:tcPr>
            <w:tcW w:w="3500" w:type="dxa"/>
            <w:vAlign w:val="bottom"/>
            <w:tcBorders>
              <w:top w:val="single" w:sz="8" w:color="auto"/>
              <w:bottom w:val="single" w:sz="8" w:color="EEECE1"/>
              <w:right w:val="single" w:sz="8" w:color="auto"/>
            </w:tcBorders>
            <w:shd w:val="clear" w:color="auto" w:fill="EEECE1"/>
          </w:tcPr>
          <w:p>
            <w:pPr>
              <w:ind w:left="180"/>
              <w:spacing w:after="0"/>
              <w:rPr>
                <w:sz w:val="20"/>
                <w:szCs w:val="20"/>
                <w:color w:val="auto"/>
              </w:rPr>
            </w:pPr>
            <w:r>
              <w:rPr>
                <w:rFonts w:ascii="Times New Roman" w:cs="Times New Roman" w:eastAsia="Times New Roman" w:hAnsi="Times New Roman"/>
                <w:sz w:val="22"/>
                <w:szCs w:val="22"/>
                <w:b w:val="1"/>
                <w:bCs w:val="1"/>
                <w:color w:val="auto"/>
              </w:rPr>
              <w:t>Percentage of Component Earned</w:t>
            </w:r>
          </w:p>
        </w:tc>
      </w:tr>
      <w:tr>
        <w:trPr>
          <w:trHeight w:val="303"/>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3100" w:type="dxa"/>
            <w:vAlign w:val="bottom"/>
            <w:tcBorders>
              <w:top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$2,650,000,000</w:t>
            </w:r>
          </w:p>
        </w:tc>
        <w:tc>
          <w:tcPr>
            <w:tcW w:w="3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303"/>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Above target</w:t>
            </w:r>
          </w:p>
        </w:tc>
        <w:tc>
          <w:tcPr>
            <w:tcW w:w="31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$2,950,000,000</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303"/>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Maximum or above</w:t>
            </w:r>
          </w:p>
        </w:tc>
        <w:tc>
          <w:tcPr>
            <w:tcW w:w="31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$3,250,000,000</w:t>
            </w:r>
          </w:p>
        </w:tc>
        <w:tc>
          <w:tcPr>
            <w:tcW w:w="3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8"/>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Capital Market Activity</w:t>
      </w:r>
      <w:r>
        <w:rPr>
          <w:rFonts w:ascii="Times New Roman" w:cs="Times New Roman" w:eastAsia="Times New Roman" w:hAnsi="Times New Roman"/>
          <w:sz w:val="22"/>
          <w:szCs w:val="22"/>
          <w:color w:val="auto"/>
        </w:rPr>
        <w:t>” means the sum of the following:</w:t>
      </w:r>
    </w:p>
    <w:p>
      <w:pPr>
        <w:spacing w:after="0" w:line="233" w:lineRule="exact"/>
        <w:rPr>
          <w:rFonts w:ascii="Times New Roman" w:cs="Times New Roman" w:eastAsia="Times New Roman" w:hAnsi="Times New Roman"/>
          <w:sz w:val="22"/>
          <w:szCs w:val="22"/>
          <w:color w:val="auto"/>
        </w:rPr>
      </w:pPr>
    </w:p>
    <w:p>
      <w:pPr>
        <w:ind w:left="660" w:hanging="4"/>
        <w:spacing w:after="0" w:line="271" w:lineRule="auto"/>
        <w:tabs>
          <w:tab w:leader="none" w:pos="13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purchase price of real estate, including land and buildings, acquired by the Company (as defined below) or an unconsolidated subsidiary during the Performance Period (“</w:t>
      </w:r>
      <w:r>
        <w:rPr>
          <w:rFonts w:ascii="Times New Roman" w:cs="Times New Roman" w:eastAsia="Times New Roman" w:hAnsi="Times New Roman"/>
          <w:sz w:val="22"/>
          <w:szCs w:val="22"/>
          <w:u w:val="single" w:color="auto"/>
          <w:color w:val="auto"/>
        </w:rPr>
        <w:t>Purchases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hanging="4"/>
        <w:spacing w:after="0" w:line="271"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the gross sales price of real estate, including land and buildings, sold by the Company or an unconsolidated subsidiary during the Performance Period (“</w:t>
      </w:r>
      <w:r>
        <w:rPr>
          <w:rFonts w:ascii="Times New Roman" w:cs="Times New Roman" w:eastAsia="Times New Roman" w:hAnsi="Times New Roman"/>
          <w:sz w:val="22"/>
          <w:szCs w:val="22"/>
          <w:u w:val="single" w:color="auto"/>
          <w:color w:val="auto"/>
        </w:rPr>
        <w:t>Sales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30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the present value of scheduled rental payments that will be made, or received, over the term of any ground lease executed by the Company or an unconsolidated subsidiary during the Performance Period (using a discount rate equal to the Company’s weighted cost of capital at the time of execution of any such ground lease);</w:t>
      </w:r>
    </w:p>
    <w:p>
      <w:pPr>
        <w:spacing w:after="0" w:line="167" w:lineRule="exact"/>
        <w:rPr>
          <w:rFonts w:ascii="Times New Roman" w:cs="Times New Roman" w:eastAsia="Times New Roman" w:hAnsi="Times New Roman"/>
          <w:sz w:val="22"/>
          <w:szCs w:val="22"/>
          <w:color w:val="auto"/>
        </w:rPr>
      </w:pPr>
    </w:p>
    <w:p>
      <w:pPr>
        <w:ind w:left="660" w:hanging="4"/>
        <w:spacing w:after="0" w:line="271" w:lineRule="auto"/>
        <w:tabs>
          <w:tab w:leader="none" w:pos="13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the principal amount of loans made or committed to be made by the Company to third persons, including to unconsolidated subsidiaries, during the Performance Period;</w:t>
      </w:r>
    </w:p>
    <w:p>
      <w:pPr>
        <w:spacing w:after="0" w:line="157" w:lineRule="exact"/>
        <w:rPr>
          <w:rFonts w:ascii="Times New Roman" w:cs="Times New Roman" w:eastAsia="Times New Roman" w:hAnsi="Times New Roman"/>
          <w:sz w:val="22"/>
          <w:szCs w:val="22"/>
          <w:color w:val="auto"/>
        </w:rPr>
      </w:pPr>
    </w:p>
    <w:p>
      <w:pPr>
        <w:ind w:left="660" w:hanging="4"/>
        <w:spacing w:after="0" w:line="271"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the amount of equity or debt invested or committed to be invested by the Company in third persons, including in unconsolidated subsidiaries, during the Performance Period;</w:t>
      </w:r>
    </w:p>
    <w:p>
      <w:pPr>
        <w:spacing w:after="0" w:line="171"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the budgeted cost of developments and redevelopments commenced by the Company or an unconsolidated subsidiary during the Performance Period (regardless of whether such costs will be funded through debt or equity, including equity funded by a third party partner or member in an unconsolidated subsidiary, or a combination thereof);</w:t>
      </w:r>
    </w:p>
    <w:p>
      <w:pPr>
        <w:spacing w:after="0" w:line="172" w:lineRule="exact"/>
        <w:rPr>
          <w:rFonts w:ascii="Times New Roman" w:cs="Times New Roman" w:eastAsia="Times New Roman" w:hAnsi="Times New Roman"/>
          <w:sz w:val="22"/>
          <w:szCs w:val="22"/>
          <w:color w:val="auto"/>
        </w:rPr>
      </w:pPr>
    </w:p>
    <w:p>
      <w:pPr>
        <w:jc w:val="both"/>
        <w:ind w:left="660" w:hanging="4"/>
        <w:spacing w:after="0" w:line="255"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 the principal amount of loans made to the Company or an unconsolidated subsidiary, whether secured or unsecured, and bonds issued by the Company, including secured loan extensions greater than 18 months (but excluding</w:t>
      </w:r>
    </w:p>
    <w:p>
      <w:pPr>
        <w:spacing w:after="0" w:line="1"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98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financings of Purchases, (y) construction financing for developments or redevelopments, or (z) advances under lines of credit or revolving credit facilities (other than to the extent that such advance is utilized to refinance an outstanding indebtedness), in each case to avoid duplication) (“</w:t>
      </w:r>
      <w:r>
        <w:rPr>
          <w:rFonts w:ascii="Times New Roman" w:cs="Times New Roman" w:eastAsia="Times New Roman" w:hAnsi="Times New Roman"/>
          <w:sz w:val="22"/>
          <w:szCs w:val="22"/>
          <w:u w:val="single" w:color="auto"/>
          <w:color w:val="auto"/>
        </w:rPr>
        <w:t>Financings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326232796v3</w:t>
      </w:r>
    </w:p>
    <w:p>
      <w:pPr>
        <w:sectPr>
          <w:pgSz w:w="11900" w:h="16838" w:orient="portrait"/>
          <w:cols w:equalWidth="0" w:num="1">
            <w:col w:w="11240"/>
          </w:cols>
          <w:pgMar w:left="320" w:top="1418" w:right="339" w:bottom="1440" w:gutter="0" w:footer="0" w:header="0"/>
        </w:sectPr>
      </w:pPr>
    </w:p>
    <w:bookmarkStart w:id="75" w:name="page76"/>
    <w:bookmarkEnd w:id="75"/>
    <w:p>
      <w:pPr>
        <w:ind w:left="660" w:hanging="4"/>
        <w:spacing w:after="0" w:line="271" w:lineRule="auto"/>
        <w:tabs>
          <w:tab w:leader="none" w:pos="13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 repurchases of the Company’s common shares and preferred shares and/or open-market purchases of unsecured bonds (excluding bonds purchased via tender offer or at maturity).</w:t>
      </w:r>
    </w:p>
    <w:p>
      <w:pPr>
        <w:spacing w:after="0" w:line="157" w:lineRule="exact"/>
        <w:rPr>
          <w:rFonts w:ascii="Times New Roman" w:cs="Times New Roman" w:eastAsia="Times New Roman" w:hAnsi="Times New Roman"/>
          <w:sz w:val="22"/>
          <w:szCs w:val="22"/>
          <w:color w:val="auto"/>
        </w:rPr>
      </w:pPr>
    </w:p>
    <w:p>
      <w:pPr>
        <w:jc w:val="both"/>
        <w:ind w:left="660" w:hanging="4"/>
        <w:spacing w:after="0" w:line="272" w:lineRule="auto"/>
        <w:tabs>
          <w:tab w:leader="none" w:pos="130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undertakes a Purchase, a Sale or a secured Financing through an unconsolidated subsidiary, then, solely in any such case, the amount credited to Total Capital Market Activity shall be the Company’s pro rata share of the purchase price, sale price or principal amount, as the case may be, determined based on the Company’s ownership interest in the unconsolidated subsidiary without regard to priority entitlements to distributable cash.</w:t>
      </w:r>
    </w:p>
    <w:p>
      <w:pPr>
        <w:spacing w:after="0" w:line="160" w:lineRule="exact"/>
        <w:rPr>
          <w:rFonts w:ascii="Times New Roman" w:cs="Times New Roman" w:eastAsia="Times New Roman" w:hAnsi="Times New Roman"/>
          <w:sz w:val="21"/>
          <w:szCs w:val="21"/>
          <w:color w:val="auto"/>
        </w:rPr>
      </w:pPr>
    </w:p>
    <w:p>
      <w:pPr>
        <w:jc w:val="both"/>
        <w:ind w:left="660" w:hanging="4"/>
        <w:spacing w:after="0" w:line="253"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definition of Total Capital Market Activity: (x) the “Company” means Brandywine Realty Trust and its consolidated subsidiaries; (y) “budgeted cost” for any given development or redevelopment shall be based on the then current budget at the time of measurement of Total Capital Market Activity; and (z) commencement dates of a development or redevelopment shall be determined in a manner consistent with practices used by the Company in its public reporting of developments and redevelopments.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Performance Component #3: </w:t>
      </w:r>
      <w:r>
        <w:rPr>
          <w:rFonts w:ascii="Times New Roman" w:cs="Times New Roman" w:eastAsia="Times New Roman" w:hAnsi="Times New Roman"/>
          <w:sz w:val="22"/>
          <w:szCs w:val="22"/>
          <w:color w:val="auto"/>
        </w:rPr>
        <w:t>Net Debt / EBITDA Ratio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Period</w:t>
      </w:r>
      <w:r>
        <w:rPr>
          <w:rFonts w:ascii="Times New Roman" w:cs="Times New Roman" w:eastAsia="Times New Roman" w:hAnsi="Times New Roman"/>
          <w:sz w:val="22"/>
          <w:szCs w:val="22"/>
          <w:color w:val="auto"/>
        </w:rPr>
        <w:t>: January 1, 2026 to December 31, 2028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Relative Weighting: </w:t>
      </w:r>
      <w:r>
        <w:rPr>
          <w:rFonts w:ascii="Times New Roman" w:cs="Times New Roman" w:eastAsia="Times New Roman" w:hAnsi="Times New Roman"/>
          <w:sz w:val="22"/>
          <w:szCs w:val="22"/>
          <w:color w:val="auto"/>
        </w:rPr>
        <w:t>33%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Scale</w:t>
      </w:r>
      <w:r>
        <w:rPr>
          <w:rFonts w:ascii="Times New Roman" w:cs="Times New Roman" w:eastAsia="Times New Roman" w:hAnsi="Times New Roman"/>
          <w:sz w:val="22"/>
          <w:szCs w:val="22"/>
          <w:color w:val="auto"/>
        </w:rPr>
        <w:t>:</w:t>
      </w:r>
    </w:p>
    <w:p>
      <w:pPr>
        <w:spacing w:after="0" w:line="255" w:lineRule="exact"/>
        <w:rPr>
          <w:sz w:val="20"/>
          <w:szCs w:val="20"/>
          <w:color w:val="auto"/>
        </w:rPr>
      </w:pPr>
    </w:p>
    <w:tbl>
      <w:tblPr>
        <w:tblLayout w:type="fixed"/>
        <w:tblInd w:w="850" w:type="dxa"/>
        <w:tblCellMar>
          <w:top w:w="0" w:type="dxa"/>
          <w:left w:w="0" w:type="dxa"/>
          <w:bottom w:w="0" w:type="dxa"/>
          <w:right w:w="0" w:type="dxa"/>
        </w:tblCellMar>
      </w:tblPr>
      <w:tr>
        <w:trPr>
          <w:trHeight w:val="351"/>
        </w:trPr>
        <w:tc>
          <w:tcPr>
            <w:tcW w:w="4200" w:type="dxa"/>
            <w:vAlign w:val="bottom"/>
            <w:tcBorders>
              <w:top w:val="single" w:sz="8" w:color="auto"/>
              <w:left w:val="single" w:sz="8" w:color="auto"/>
              <w:bottom w:val="single" w:sz="8" w:color="EEECE1"/>
            </w:tcBorders>
            <w:gridSpan w:val="2"/>
            <w:shd w:val="clear" w:color="auto" w:fill="EEECE1"/>
          </w:tcPr>
          <w:p>
            <w:pPr>
              <w:ind w:left="1800"/>
              <w:spacing w:after="0"/>
              <w:rPr>
                <w:sz w:val="20"/>
                <w:szCs w:val="20"/>
                <w:color w:val="auto"/>
              </w:rPr>
            </w:pPr>
            <w:r>
              <w:rPr>
                <w:rFonts w:ascii="Times New Roman" w:cs="Times New Roman" w:eastAsia="Times New Roman" w:hAnsi="Times New Roman"/>
                <w:sz w:val="22"/>
                <w:szCs w:val="22"/>
                <w:b w:val="1"/>
                <w:bCs w:val="1"/>
                <w:color w:val="auto"/>
                <w:w w:val="98"/>
              </w:rPr>
              <w:t>Net Debt / EBITDA Ratio</w:t>
            </w:r>
          </w:p>
        </w:tc>
        <w:tc>
          <w:tcPr>
            <w:tcW w:w="1760" w:type="dxa"/>
            <w:vAlign w:val="bottom"/>
            <w:tcBorders>
              <w:top w:val="single" w:sz="8" w:color="auto"/>
              <w:bottom w:val="single" w:sz="8" w:color="EEECE1"/>
              <w:right w:val="single" w:sz="8" w:color="auto"/>
            </w:tcBorders>
            <w:shd w:val="clear" w:color="auto" w:fill="EEECE1"/>
          </w:tcPr>
          <w:p>
            <w:pPr>
              <w:spacing w:after="0"/>
              <w:rPr>
                <w:sz w:val="24"/>
                <w:szCs w:val="24"/>
                <w:color w:val="auto"/>
              </w:rPr>
            </w:pPr>
          </w:p>
        </w:tc>
        <w:tc>
          <w:tcPr>
            <w:tcW w:w="35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Percentage of Component Earned</w:t>
            </w:r>
          </w:p>
        </w:tc>
      </w:tr>
      <w:tr>
        <w:trPr>
          <w:trHeight w:val="302"/>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132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7.4x</w:t>
            </w:r>
          </w:p>
        </w:tc>
        <w:tc>
          <w:tcPr>
            <w:tcW w:w="3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w:t>
            </w:r>
          </w:p>
        </w:tc>
      </w:tr>
      <w:tr>
        <w:trPr>
          <w:trHeight w:val="29"/>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303"/>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Above Target</w:t>
            </w:r>
          </w:p>
        </w:tc>
        <w:tc>
          <w:tcPr>
            <w:tcW w:w="1320" w:type="dxa"/>
            <w:vAlign w:val="bottom"/>
          </w:tcPr>
          <w:p>
            <w:pPr>
              <w:spacing w:after="0"/>
              <w:rPr>
                <w:sz w:val="24"/>
                <w:szCs w:val="24"/>
                <w:color w:val="auto"/>
              </w:rPr>
            </w:pP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7.1x</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9"/>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302"/>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Maximum or above</w:t>
            </w:r>
          </w:p>
        </w:tc>
        <w:tc>
          <w:tcPr>
            <w:tcW w:w="1320" w:type="dxa"/>
            <w:vAlign w:val="bottom"/>
          </w:tcPr>
          <w:p>
            <w:pPr>
              <w:spacing w:after="0"/>
              <w:rPr>
                <w:sz w:val="24"/>
                <w:szCs w:val="24"/>
                <w:color w:val="auto"/>
              </w:rPr>
            </w:pPr>
          </w:p>
        </w:tc>
        <w:tc>
          <w:tcPr>
            <w:tcW w:w="1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6.8x</w:t>
            </w:r>
          </w:p>
        </w:tc>
        <w:tc>
          <w:tcPr>
            <w:tcW w:w="3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w:t>
            </w:r>
          </w:p>
        </w:tc>
      </w:tr>
      <w:tr>
        <w:trPr>
          <w:trHeight w:val="29"/>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this purpose, the “Net Debt / EBITDA Ratio” is the Company’s ratio of net debt to annualized quarterly EBITDA as of December 31, 2028, as reported in (or otherwise calculated in a manner consistent with) the Company’s Supplemental Information Package for the period ending December 31, 2028.</w:t>
      </w:r>
    </w:p>
    <w:p>
      <w:pPr>
        <w:spacing w:after="0" w:line="167" w:lineRule="exact"/>
        <w:rPr>
          <w:sz w:val="20"/>
          <w:szCs w:val="20"/>
          <w:color w:val="auto"/>
        </w:rPr>
      </w:pPr>
    </w:p>
    <w:p>
      <w:pPr>
        <w:jc w:val="both"/>
        <w:ind w:firstLine="1304"/>
        <w:spacing w:after="0" w:line="220" w:lineRule="auto"/>
        <w:tabs>
          <w:tab w:leader="none" w:pos="19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Actual performance with respect to each Performance Component will be determined by the Committee in its sole discretion, which determination will generally be made in a manner consistent with the Company’s published disclosures (whether or not filed with the Securities and Exchange Commission), taking into account adjustments contemplated by the terms of the applicable Performance Component.</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Award and any RSUs which may be earned under the Award are subject to the terms and conditions set forth in this Award Certificate, the Plan and the Agreement. All terms and provisions of the Plan and the Agreement,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326232796v3</w:t>
      </w:r>
    </w:p>
    <w:p>
      <w:pPr>
        <w:sectPr>
          <w:pgSz w:w="11900" w:h="16838" w:orient="portrait"/>
          <w:cols w:equalWidth="0" w:num="1">
            <w:col w:w="11240"/>
          </w:cols>
          <w:pgMar w:left="320" w:top="1422" w:right="339" w:bottom="1440" w:gutter="0" w:footer="0" w:header="0"/>
        </w:sectPr>
      </w:pPr>
    </w:p>
    <w:bookmarkStart w:id="76" w:name="page77"/>
    <w:bookmarkEnd w:id="76"/>
    <w:p>
      <w:pPr>
        <w:spacing w:after="0" w:line="236" w:lineRule="auto"/>
        <w:rPr>
          <w:sz w:val="20"/>
          <w:szCs w:val="20"/>
          <w:color w:val="auto"/>
        </w:rPr>
      </w:pPr>
      <w:r>
        <w:rPr>
          <w:rFonts w:ascii="Times New Roman" w:cs="Times New Roman" w:eastAsia="Times New Roman" w:hAnsi="Times New Roman"/>
          <w:sz w:val="22"/>
          <w:szCs w:val="22"/>
          <w:color w:val="auto"/>
        </w:rPr>
        <w:t>amended from time to time, are incorporated and made part of this Award Certificate. The Participant hereby expressly acknowledges receipt of a copy of the Plan and the Agreement.</w:t>
      </w:r>
    </w:p>
    <w:p>
      <w:pPr>
        <w:spacing w:after="0" w:line="150" w:lineRule="exact"/>
        <w:rPr>
          <w:sz w:val="20"/>
          <w:szCs w:val="20"/>
          <w:color w:val="auto"/>
        </w:rPr>
      </w:pPr>
    </w:p>
    <w:p>
      <w:pPr>
        <w:ind w:firstLine="1304"/>
        <w:spacing w:after="0" w:line="236" w:lineRule="auto"/>
        <w:tabs>
          <w:tab w:leader="none" w:pos="1944"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Award Certificate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326232796v3</w:t>
      </w:r>
    </w:p>
    <w:p>
      <w:pPr>
        <w:sectPr>
          <w:pgSz w:w="11900" w:h="16838" w:orient="portrait"/>
          <w:cols w:equalWidth="0" w:num="1">
            <w:col w:w="11240"/>
          </w:cols>
          <w:pgMar w:left="320" w:top="1395" w:right="339" w:bottom="1440" w:gutter="0" w:footer="0" w:header="0"/>
        </w:sectPr>
      </w:pPr>
    </w:p>
    <w:bookmarkStart w:id="77" w:name="page78"/>
    <w:bookmarkEnd w:id="77"/>
    <w:p>
      <w:pPr>
        <w:ind w:left="1940" w:hanging="636"/>
        <w:spacing w:after="0"/>
        <w:tabs>
          <w:tab w:leader="none" w:pos="19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WITNESS WHEREOF, the parties have duly executed this Award Certificate on the respective date(s)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below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286"/>
        </w:trPr>
        <w:tc>
          <w:tcPr>
            <w:tcW w:w="4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BRANDYWINE REALTY TRUST</w:t>
            </w:r>
          </w:p>
        </w:tc>
        <w:tc>
          <w:tcPr>
            <w:tcW w:w="4640" w:type="dxa"/>
            <w:vAlign w:val="bottom"/>
            <w:gridSpan w:val="3"/>
          </w:tcPr>
          <w:p>
            <w:pPr>
              <w:ind w:left="860"/>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0" w:type="dxa"/>
            <w:vAlign w:val="bottom"/>
          </w:tcPr>
          <w:p>
            <w:pPr>
              <w:spacing w:after="0"/>
              <w:rPr>
                <w:sz w:val="1"/>
                <w:szCs w:val="1"/>
                <w:color w:val="auto"/>
              </w:rPr>
            </w:pPr>
          </w:p>
        </w:tc>
      </w:tr>
      <w:tr>
        <w:trPr>
          <w:trHeight w:val="730"/>
        </w:trPr>
        <w:tc>
          <w:tcPr>
            <w:tcW w:w="4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By: ________________________________</w:t>
            </w:r>
          </w:p>
        </w:tc>
        <w:tc>
          <w:tcPr>
            <w:tcW w:w="4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w w:val="97"/>
              </w:rPr>
              <w:t>___________________________________</w:t>
            </w:r>
          </w:p>
        </w:tc>
        <w:tc>
          <w:tcPr>
            <w:tcW w:w="0" w:type="dxa"/>
            <w:vAlign w:val="bottom"/>
          </w:tcPr>
          <w:p>
            <w:pPr>
              <w:spacing w:after="0"/>
              <w:rPr>
                <w:sz w:val="1"/>
                <w:szCs w:val="1"/>
                <w:color w:val="auto"/>
              </w:rPr>
            </w:pPr>
          </w:p>
        </w:tc>
      </w:tr>
      <w:tr>
        <w:trPr>
          <w:trHeight w:val="27"/>
        </w:trPr>
        <w:tc>
          <w:tcPr>
            <w:tcW w:w="4680" w:type="dxa"/>
            <w:vAlign w:val="bottom"/>
            <w:vMerge w:val="continue"/>
          </w:tcPr>
          <w:p>
            <w:pPr>
              <w:spacing w:after="0"/>
              <w:rPr>
                <w:sz w:val="2"/>
                <w:szCs w:val="2"/>
                <w:color w:val="auto"/>
              </w:rPr>
            </w:pPr>
          </w:p>
        </w:tc>
        <w:tc>
          <w:tcPr>
            <w:tcW w:w="154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Name:</w:t>
            </w:r>
          </w:p>
        </w:tc>
        <w:tc>
          <w:tcPr>
            <w:tcW w:w="540" w:type="dxa"/>
            <w:vAlign w:val="bottom"/>
          </w:tcPr>
          <w:p>
            <w:pPr>
              <w:spacing w:after="0"/>
              <w:rPr>
                <w:sz w:val="2"/>
                <w:szCs w:val="2"/>
                <w:color w:val="auto"/>
              </w:rPr>
            </w:pPr>
          </w:p>
        </w:tc>
        <w:tc>
          <w:tcPr>
            <w:tcW w:w="25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540" w:type="dxa"/>
            <w:vAlign w:val="bottom"/>
            <w:shd w:val="clear" w:color="auto" w:fill="FFFF00"/>
          </w:tcPr>
          <w:p>
            <w:pPr>
              <w:spacing w:after="0" w:line="229" w:lineRule="exact"/>
              <w:rPr>
                <w:sz w:val="20"/>
                <w:szCs w:val="20"/>
                <w:color w:val="auto"/>
              </w:rPr>
            </w:pPr>
            <w:r>
              <w:rPr>
                <w:rFonts w:ascii="Times New Roman" w:cs="Times New Roman" w:eastAsia="Times New Roman" w:hAnsi="Times New Roman"/>
                <w:sz w:val="22"/>
                <w:szCs w:val="22"/>
                <w:color w:val="auto"/>
                <w:w w:val="77"/>
              </w:rPr>
              <w:t>[Name]</w:t>
            </w:r>
          </w:p>
        </w:tc>
        <w:tc>
          <w:tcPr>
            <w:tcW w:w="2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15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Date:</w:t>
            </w:r>
          </w:p>
        </w:tc>
        <w:tc>
          <w:tcPr>
            <w:tcW w:w="5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6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Restricted Stock Unit Award Certificate</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326232796v3</w:t>
      </w:r>
    </w:p>
    <w:p>
      <w:pPr>
        <w:sectPr>
          <w:pgSz w:w="11900" w:h="16838" w:orient="portrait"/>
          <w:cols w:equalWidth="0" w:num="1">
            <w:col w:w="11220"/>
          </w:cols>
          <w:pgMar w:left="320" w:top="1422" w:right="3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7"/>
          <w:szCs w:val="17"/>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6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85" w:lineRule="exact"/>
        <w:rPr>
          <w:sz w:val="20"/>
          <w:szCs w:val="20"/>
          <w:color w:val="auto"/>
        </w:rPr>
      </w:pPr>
    </w:p>
    <w:p>
      <w:pPr>
        <w:ind w:left="820" w:hanging="812"/>
        <w:spacing w:after="0"/>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62"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Operating Partnership, L.P.;</w:t>
      </w:r>
    </w:p>
    <w:p>
      <w:pPr>
        <w:spacing w:after="0" w:line="184"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H. Sweeney</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Gerard H. Sweeney</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66" w:lineRule="exact"/>
        <w:rPr>
          <w:sz w:val="20"/>
          <w:szCs w:val="20"/>
          <w:color w:val="auto"/>
        </w:rPr>
      </w:pPr>
    </w:p>
    <w:p>
      <w:pPr>
        <w:ind w:left="820" w:hanging="812"/>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Operating Partnership, L.P.;</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Wirth</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Thomas E. Wirth</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Brandywine Realty Trust (the “Company”) on Form 10-Q for the quarter ended March 31, 2026 as filed with the Securities and Exchange Commission on the date hereof (the “Report”), I, Gerard H. Sweeney, President and Chief Executive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4" w:lineRule="exact"/>
        <w:rPr>
          <w:sz w:val="20"/>
          <w:szCs w:val="20"/>
          <w:color w:val="auto"/>
        </w:rPr>
      </w:pPr>
    </w:p>
    <w:p>
      <w:pPr>
        <w:ind w:right="280" w:firstLine="8"/>
        <w:spacing w:after="0" w:line="282" w:lineRule="auto"/>
        <w:tabs>
          <w:tab w:leader="none" w:pos="1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Brandywine Realty Trust (the “Company”) on Form 10-Q for the quarter ended March 31, 2026 as filed with the Securities and Exchange Commission on the date hereof (the “Report”), I, Thomas E. Wirth, Executive Vice President and Chief Financial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4" w:lineRule="exact"/>
        <w:rPr>
          <w:sz w:val="20"/>
          <w:szCs w:val="20"/>
          <w:color w:val="auto"/>
        </w:rPr>
      </w:pPr>
    </w:p>
    <w:p>
      <w:pPr>
        <w:ind w:right="280" w:firstLine="8"/>
        <w:spacing w:after="0" w:line="282" w:lineRule="auto"/>
        <w:tabs>
          <w:tab w:leader="none" w:pos="1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Brandywine Operating Partnership, L.P. (the “Partnership”) on Form 10-Q for the quarter ended March 31, 2026 as filed with the Securities and Exchange Commission on the date hereof (the “Report”), I, Gerard H. Sweeney, President and Chief Executive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4" w:lineRule="exact"/>
        <w:rPr>
          <w:sz w:val="20"/>
          <w:szCs w:val="20"/>
          <w:color w:val="auto"/>
        </w:rPr>
      </w:pPr>
    </w:p>
    <w:p>
      <w:pPr>
        <w:ind w:right="280" w:firstLine="8"/>
        <w:spacing w:after="0" w:line="282" w:lineRule="auto"/>
        <w:tabs>
          <w:tab w:leader="none" w:pos="1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Brandywine Operating Partnership, L.P. (the “Partnership”) on Form 10-Q for the quarter ended March 31, 2026 as filed with the Securities and Exchange Commission on the date hereof (the “Report”), I, Thomas E. Wirth, Executive Vice President and Chief Financial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4" w:lineRule="exact"/>
        <w:rPr>
          <w:sz w:val="20"/>
          <w:szCs w:val="20"/>
          <w:color w:val="auto"/>
        </w:rPr>
      </w:pPr>
    </w:p>
    <w:p>
      <w:pPr>
        <w:ind w:right="280" w:firstLine="8"/>
        <w:spacing w:after="0" w:line="282" w:lineRule="auto"/>
        <w:tabs>
          <w:tab w:leader="none" w:pos="1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decimal"/>
      <w:start w:val="3"/>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Letter"/>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bullet"/>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decimal"/>
      <w:start w:val="104"/>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10"/>
    </w:lvl>
  </w:abstractNum>
  <w:abstractNum w:abstractNumId="33">
    <w:nsid w:val="2F305DEF"/>
    <w:multiLevelType w:val="hybridMultilevel"/>
    <w:lvl w:ilvl="0">
      <w:lvlJc w:val="left"/>
      <w:lvlText w:val="%1."/>
      <w:numFmt w:val="decimal"/>
      <w:start w:val="2"/>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3"/>
    </w:lvl>
  </w:abstractNum>
  <w:abstractNum w:abstractNumId="36">
    <w:nsid w:val="4AD084E9"/>
    <w:multiLevelType w:val="hybridMultilevel"/>
    <w:lvl w:ilvl="0">
      <w:lvlJc w:val="left"/>
      <w:lvlText w:val="%1."/>
      <w:numFmt w:val="decimal"/>
      <w:start w:val="4"/>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lowerLetter"/>
      <w:start w:val="4"/>
    </w:lvl>
    <w:lvl w:ilvl="1">
      <w:lvlJc w:val="left"/>
      <w:lvlText w:val="(%2)"/>
      <w:numFmt w:val="lowerRoman"/>
      <w:start w:val="1"/>
    </w:lvl>
  </w:abstractNum>
  <w:abstractNum w:abstractNumId="39">
    <w:nsid w:val="5DB70AE5"/>
    <w:multiLevelType w:val="hybridMultilevel"/>
    <w:lvl w:ilvl="0">
      <w:lvlJc w:val="left"/>
      <w:lvlText w:val="(%1)"/>
      <w:numFmt w:val="lowerLetter"/>
      <w:start w:val="9"/>
    </w:lvl>
  </w:abstractNum>
  <w:abstractNum w:abstractNumId="40">
    <w:nsid w:val="100F8FCA"/>
    <w:multiLevelType w:val="hybridMultilevel"/>
    <w:lvl w:ilvl="0">
      <w:lvlJc w:val="left"/>
      <w:lvlText w:val="(%1)"/>
      <w:numFmt w:val="lowerLetter"/>
      <w:start w:val="16"/>
    </w:lvl>
    <w:lvl w:ilvl="1">
      <w:lvlJc w:val="left"/>
      <w:lvlText w:val="(%2)"/>
      <w:numFmt w:val="lowerLetter"/>
      <w:start w:val="17"/>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1."/>
      <w:numFmt w:val="decimal"/>
      <w:start w:val="4"/>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decimal"/>
      <w:start w:val="5"/>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decimal"/>
      <w:start w:val="6"/>
    </w:lvl>
  </w:abstractNum>
  <w:abstractNum w:abstractNumId="48">
    <w:nsid w:val="168E121F"/>
    <w:multiLevelType w:val="hybridMultilevel"/>
    <w:lvl w:ilvl="0">
      <w:lvlJc w:val="left"/>
      <w:lvlText w:val="%1."/>
      <w:numFmt w:val="decimal"/>
      <w:start w:val="7"/>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decimal"/>
      <w:start w:val="8"/>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decimal"/>
      <w:start w:val="9"/>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7"/>
    </w:lvl>
  </w:abstractNum>
  <w:abstractNum w:abstractNumId="57">
    <w:nsid w:val="11447B73"/>
    <w:multiLevelType w:val="hybridMultilevel"/>
    <w:lvl w:ilvl="0">
      <w:lvlJc w:val="left"/>
      <w:lvlText w:val="%1."/>
      <w:numFmt w:val="decimal"/>
      <w:start w:val="2"/>
    </w:lvl>
  </w:abstractNum>
  <w:abstractNum w:abstractNumId="58">
    <w:nsid w:val="42963E5A"/>
    <w:multiLevelType w:val="hybridMultilevel"/>
    <w:lvl w:ilvl="0">
      <w:lvlJc w:val="left"/>
      <w:lvlText w:val="(%1)"/>
      <w:numFmt w:val="upperLetter"/>
      <w:start w:val="1"/>
    </w:lvl>
  </w:abstractNum>
  <w:abstractNum w:abstractNumId="59">
    <w:nsid w:val="A0382C5"/>
    <w:multiLevelType w:val="hybridMultilevel"/>
    <w:lvl w:ilvl="0">
      <w:lvlJc w:val="left"/>
      <w:lvlText w:val="(%1)"/>
      <w:numFmt w:val="lowerRoman"/>
      <w:start w:val="1"/>
    </w:lvl>
  </w:abstractNum>
  <w:abstractNum w:abstractNumId="60">
    <w:nsid w:val="8F2B15E"/>
    <w:multiLevelType w:val="hybridMultilevel"/>
    <w:lvl w:ilvl="0">
      <w:lvlJc w:val="left"/>
      <w:lvlText w:val="%1"/>
      <w:numFmt w:val="upperLetter"/>
      <w:start w:val="1"/>
    </w:lvl>
    <w:lvl w:ilvl="1">
      <w:lvlJc w:val="left"/>
      <w:lvlText w:val="(%2)"/>
      <w:numFmt w:val="lowerRoman"/>
      <w:start w:val="3"/>
    </w:lvl>
  </w:abstractNum>
  <w:abstractNum w:abstractNumId="61">
    <w:nsid w:val="1A32234B"/>
    <w:multiLevelType w:val="hybridMultilevel"/>
    <w:lvl w:ilvl="0">
      <w:lvlJc w:val="left"/>
      <w:lvlText w:val="(%1)"/>
      <w:numFmt w:val="upperLetter"/>
      <w:start w:val="2"/>
    </w:lvl>
    <w:lvl w:ilvl="1">
      <w:lvlJc w:val="left"/>
      <w:lvlText w:val="(%2)"/>
      <w:numFmt w:val="lowerRoman"/>
      <w:start w:val="1"/>
    </w:lvl>
  </w:abstractNum>
  <w:abstractNum w:abstractNumId="62">
    <w:nsid w:val="3B0FD379"/>
    <w:multiLevelType w:val="hybridMultilevel"/>
    <w:lvl w:ilvl="0">
      <w:lvlJc w:val="left"/>
      <w:lvlText w:val="(%1)"/>
      <w:numFmt w:val="upperLetter"/>
      <w:start w:val="3"/>
    </w:lvl>
  </w:abstractNum>
  <w:abstractNum w:abstractNumId="63">
    <w:nsid w:val="68EB2F63"/>
    <w:multiLevelType w:val="hybridMultilevel"/>
    <w:lvl w:ilvl="0">
      <w:lvlJc w:val="left"/>
      <w:lvlText w:val="%1."/>
      <w:numFmt w:val="decimal"/>
      <w:start w:val="4"/>
    </w:lvl>
  </w:abstractNum>
  <w:abstractNum w:abstractNumId="64">
    <w:nsid w:val="4962813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5">
    <w:nsid w:val="60B6DF7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6">
    <w:nsid w:val="6A5EE64"/>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7">
    <w:nsid w:val="14330624"/>
    <w:multiLevelType w:val="hybridMultilevel"/>
    <w:lvl w:ilvl="0">
      <w:lvlJc w:val="left"/>
      <w:lvlText w:val="(%1)"/>
      <w:numFmt w:val="upperLetter"/>
      <w:start w:val="4"/>
    </w:lvl>
    <w:lvl w:ilvl="1">
      <w:lvlJc w:val="left"/>
      <w:lvlText w:val="%2"/>
      <w:numFmt w:val="lowerRoman"/>
      <w:start w:val="1"/>
    </w:lvl>
    <w:lvl w:ilvl="2">
      <w:lvlJc w:val="left"/>
      <w:lvlText w:val="%3"/>
      <w:numFmt w:val="upperLetter"/>
      <w:start w:val="1"/>
    </w:lvl>
  </w:abstractNum>
  <w:abstractNum w:abstractNumId="68">
    <w:nsid w:val="7FFFCA11"/>
    <w:multiLevelType w:val="hybridMultilevel"/>
    <w:lvl w:ilvl="0">
      <w:lvlJc w:val="left"/>
      <w:lvlText w:val="(%1)"/>
      <w:numFmt w:val="upperLetter"/>
      <w:start w:val="6"/>
    </w:lvl>
  </w:abstractNum>
  <w:abstractNum w:abstractNumId="69">
    <w:nsid w:val="1A27709E"/>
    <w:multiLevelType w:val="hybridMultilevel"/>
    <w:lvl w:ilvl="0">
      <w:lvlJc w:val="left"/>
      <w:lvlText w:val="%1."/>
      <w:numFmt w:val="decimal"/>
      <w:start w:val="5"/>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4"/>
    </w:lvl>
    <w:lvl w:ilvl="1">
      <w:lvlJc w:val="left"/>
      <w:lvlText w:val="(%2)"/>
      <w:numFmt w:val="lowerRoman"/>
      <w:start w:val="1"/>
    </w:lvl>
  </w:abstractNum>
  <w:abstractNum w:abstractNumId="72">
    <w:nsid w:val="7FB7E0AA"/>
    <w:multiLevelType w:val="hybridMultilevel"/>
    <w:lvl w:ilvl="0">
      <w:lvlJc w:val="left"/>
      <w:lvlText w:val="(%1)"/>
      <w:numFmt w:val="lowerLetter"/>
      <w:start w:val="9"/>
    </w:lvl>
  </w:abstractNum>
  <w:abstractNum w:abstractNumId="73">
    <w:nsid w:val="6EB5BD4"/>
    <w:multiLevelType w:val="hybridMultilevel"/>
    <w:lvl w:ilvl="0">
      <w:lvlJc w:val="left"/>
      <w:lvlText w:val="(%1)"/>
      <w:numFmt w:val="lowerLetter"/>
      <w:start w:val="12"/>
    </w:lvl>
    <w:lvl w:ilvl="1">
      <w:lvlJc w:val="left"/>
      <w:lvlText w:val="(%2)"/>
      <w:numFmt w:val="lowerLetter"/>
      <w:start w:val="17"/>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3"/>
    </w:lvl>
  </w:abstractNum>
  <w:abstractNum w:abstractNumId="76">
    <w:nsid w:val="885E1B"/>
    <w:multiLevelType w:val="hybridMultilevel"/>
    <w:lvl w:ilvl="0">
      <w:lvlJc w:val="left"/>
      <w:lvlText w:val="(%1)"/>
      <w:numFmt w:val="lowerLetter"/>
      <w:start w:val="61"/>
    </w:lvl>
  </w:abstractNum>
  <w:abstractNum w:abstractNumId="77">
    <w:nsid w:val="76272110"/>
    <w:multiLevelType w:val="hybridMultilevel"/>
    <w:lvl w:ilvl="0">
      <w:lvlJc w:val="left"/>
      <w:lvlText w:val="(%1)"/>
      <w:numFmt w:val="lowerLetter"/>
      <w:start w:val="2"/>
    </w:lvl>
  </w:abstractNum>
  <w:abstractNum w:abstractNumId="78">
    <w:nsid w:val="4C04A8AF"/>
    <w:multiLevelType w:val="hybridMultilevel"/>
    <w:lvl w:ilvl="0">
      <w:lvlJc w:val="left"/>
      <w:lvlText w:val="(%1)"/>
      <w:numFmt w:val="lowerRoman"/>
      <w:start w:val="4"/>
    </w:lvl>
  </w:abstractNum>
  <w:abstractNum w:abstractNumId="79">
    <w:nsid w:val="1716703B"/>
    <w:multiLevelType w:val="hybridMultilevel"/>
    <w:lvl w:ilvl="0">
      <w:lvlJc w:val="left"/>
      <w:lvlText w:val="(%1)"/>
      <w:numFmt w:val="lowerRoman"/>
      <w:start w:val="10"/>
    </w:lvl>
  </w:abstractNum>
  <w:abstractNum w:abstractNumId="80">
    <w:nsid w:val="14E17E33"/>
    <w:multiLevelType w:val="hybridMultilevel"/>
    <w:lvl w:ilvl="0">
      <w:lvlJc w:val="left"/>
      <w:lvlText w:val="(%1)"/>
      <w:numFmt w:val="lowerRoman"/>
      <w:start w:val="12"/>
    </w:lvl>
  </w:abstractNum>
  <w:abstractNum w:abstractNumId="81">
    <w:nsid w:val="3222E7CD"/>
    <w:multiLevelType w:val="hybridMultilevel"/>
    <w:lvl w:ilvl="0">
      <w:lvlJc w:val="left"/>
      <w:lvlText w:val="%1."/>
      <w:numFmt w:val="decimal"/>
      <w:start w:val="4"/>
    </w:lvl>
  </w:abstractNum>
  <w:abstractNum w:abstractNumId="82">
    <w:nsid w:val="74DE0EE3"/>
    <w:multiLevelType w:val="hybridMultilevel"/>
    <w:lvl w:ilvl="0">
      <w:lvlJc w:val="left"/>
      <w:lvlText w:val="%1."/>
      <w:numFmt w:val="decimal"/>
      <w:start w:val="6"/>
    </w:lvl>
  </w:abstractNum>
  <w:abstractNum w:abstractNumId="83">
    <w:nsid w:val="68EBC550"/>
    <w:multiLevelType w:val="hybridMultilevel"/>
    <w:lvl w:ilvl="0">
      <w:lvlJc w:val="left"/>
      <w:lvlText w:val="(%1)"/>
      <w:numFmt w:val="lowerRoman"/>
      <w:start w:val="15"/>
    </w:lvl>
  </w:abstractNum>
  <w:abstractNum w:abstractNumId="84">
    <w:nsid w:val="2DF6D648"/>
    <w:multiLevelType w:val="hybridMultilevel"/>
    <w:lvl w:ilvl="0">
      <w:lvlJc w:val="left"/>
      <w:lvlText w:val="%1."/>
      <w:numFmt w:val="decimal"/>
      <w:start w:val="1"/>
    </w:lvl>
    <w:lvl w:ilvl="1">
      <w:lvlJc w:val="left"/>
      <w:lvlText w:val="%2."/>
      <w:numFmt w:val="lowerLetter"/>
      <w:start w:val="1"/>
    </w:lvl>
  </w:abstractNum>
  <w:abstractNum w:abstractNumId="85">
    <w:nsid w:val="46B7D447"/>
    <w:multiLevelType w:val="hybridMultilevel"/>
    <w:lvl w:ilvl="0">
      <w:lvlJc w:val="left"/>
      <w:lvlText w:val="%1."/>
      <w:numFmt w:val="decimal"/>
      <w:start w:val="1"/>
    </w:lvl>
    <w:lvl w:ilvl="1">
      <w:lvlJc w:val="left"/>
      <w:lvlText w:val="%2."/>
      <w:numFmt w:val="lowerLetter"/>
      <w:start w:val="1"/>
    </w:lvl>
  </w:abstractNum>
  <w:abstractNum w:abstractNumId="86">
    <w:nsid w:val="4A2AC315"/>
    <w:multiLevelType w:val="hybridMultilevel"/>
    <w:lvl w:ilvl="0">
      <w:lvlJc w:val="left"/>
      <w:lvlText w:val="%1."/>
      <w:numFmt w:val="decimal"/>
      <w:start w:val="1"/>
    </w:lvl>
    <w:lvl w:ilvl="1">
      <w:lvlJc w:val="left"/>
      <w:lvlText w:val="%2."/>
      <w:numFmt w:val="lowerLetter"/>
      <w:start w:val="1"/>
    </w:lvl>
  </w:abstractNum>
  <w:abstractNum w:abstractNumId="87">
    <w:nsid w:val="39EE015C"/>
    <w:multiLevelType w:val="hybridMultilevel"/>
    <w:lvl w:ilvl="0">
      <w:lvlJc w:val="left"/>
      <w:lvlText w:val="%1."/>
      <w:numFmt w:val="decimal"/>
      <w:start w:val="1"/>
    </w:lvl>
    <w:lvl w:ilvl="1">
      <w:lvlJc w:val="left"/>
      <w:lvlText w:val="%2."/>
      <w:numFmt w:val="lowerLetter"/>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80" Type="http://schemas.openxmlformats.org/officeDocument/2006/relationships/hyperlink" Target="https://www.sec.gov/Archives/edgar/data/790816/000119312526106324/d574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2026-05-01T13:57:41Z</dcterms:created>
  <dcterms:modified xsi:type="dcterms:W3CDTF">2026-05-01T13:57:41Z</dcterms:modified>
</cp:coreProperties>
</file>