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DesRoches Reginald</w:t>
              </w:r>
            </w:hyperlink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BRANDYWINE REALTY TRUST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BDN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4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2929 ARCH STREET, SUITE 1800</w:t>
            </w:r>
          </w:p>
        </w:tc>
        <w:tc>
          <w:tcPr>
            <w:tcW w:w="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1800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9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jc w:val="right"/>
              <w:ind w:right="6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19104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6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37,582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122,028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9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reflect the $115,000 Annual Trustee award, the number of shares of which is calculated based upon a closing price on 05/28/26 of $3.06. Shares vested immediately upon grant.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also corrects a ministerial reporting error in Mr. DesRoches share ownership balance set forth in the Form 4 filed on 05/22/25, which reported a share balance of 99,466 rather than 99,446, a difference of 20 shares.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Shawn Neuman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499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Reginald  06/01/2026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DesRoches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9466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6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57508" TargetMode="External"/><Relationship Id="rId14" Type="http://schemas.openxmlformats.org/officeDocument/2006/relationships/hyperlink" Target="http://www.sec.gov/cgi-bin/browse-edgar?action=getcompany&amp;CIK=00007908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2026-06-01T09:39:18Z</dcterms:created>
  <dcterms:modified xsi:type="dcterms:W3CDTF">2026-06-01T09:39:18Z</dcterms:modified>
</cp:coreProperties>
</file>