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July 9, 2026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Brandywine Realty Trust (the "Parent Company") is the sole general partner of Brandywine Operating Partnership, L.P. (the "Operating Partnership") and owns its assets and conducts its operations through the Operating Partnership and subsidiaries of the Operating Partnership. The Parent Company, the Operating Partnership and their consolidated subsidiaries are collectively referred to in this report as the "Company." On July 9, 2026, the Company completed the disposition of a 206,000 square foot office building and its 520-space above ground parking garage located in Austin, Texas, to an unaffiliated third party for a sales price of $151.0 million and net proceeds of approximately $146.1 million.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required pursuant to Article 11 of Regulation S-X is attached as Exhibit 99.1 hereto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90"/>
        <w:gridCol w:w="2690"/>
        <w:gridCol w:w="385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x405coloradodisposit.htm">
              <w:r>
                <w:rPr>
                  <w:rStyle w:val="InternetLink"/>
                  <w:rFonts w:ascii="Times New Roman;serif" w:hAnsi="Times New Roman;serif"/>
                  <w:b w:val="false"/>
                  <w:color w:val="0000FF"/>
                  <w:sz w:val="20"/>
                  <w:u w:val="single"/>
                </w:rPr>
                <w:t>Unaudited pro forma consolidated financial information for Brandywine Realty Trust for the year ended December 31, 2025 and as of and for the three months ended March 31,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Brandywine Realty Trust Unaudited Pro Forma Consolidated Financial Statements </w:t>
      </w:r>
    </w:p>
    <w:p>
      <w:pPr>
        <w:pStyle w:val="TextBody"/>
        <w:bidi w:val="0"/>
        <w:spacing w:before="0" w:after="0"/>
        <w:jc w:val="center"/>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pro forma consolidated balance sheet for Brandywine Realty Trust (the “Company, “we” or “us”) as of March 31, 2026 has been prepared as if the significant disposition of the property located in Austin, Texas, during the third quarter of 2026 (noted herein) had occurred as of March 31, 2026. Our pro forma consolidated statements of operations for the three months ended March 31, 2026 and for the year ended December 31, 2025 have been prepared based on our historical financial statements as if the significant disposition during the third quarter of 2026 had occurred on January 1, 2025. Pro forma adjustments are intended to reflect the estimated effect of the disposition of the property described in Note 2. In our opinion, all adjustments necessary to reflect the effects of this disposition have been made.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pro forma consolidated financial information for the three months ended March 31, 2026 should be read in conjunction with our historical consolidated financial statements and notes thereto in our Quarterly Report on Form 10-Q as of and for the three months ended March 31, 2026. The pro forma consolidated financial information for the year ended December 31, 2025 should be read in conjunction with our historical consolidated financial statements and notes thereto in our Annual Report on Form 10-K for the year ended December 31, 2025. This pro forma information is presented for informational purposes only and does not purport to be indicative of our financial results as if the transaction reflected herein had occurred on the date disclosed above or been in effect during the periods indicated above, nor are they necessarily indicative of our financial position or results of operations of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2100"/>
                <wp:effectExtent l="0" t="0" r="0" b="0"/>
                <wp:wrapNone/>
                <wp:docPr id="4"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BALANCE SHEET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038"/>
        <w:gridCol w:w="1505"/>
        <w:gridCol w:w="1372"/>
        <w:gridCol w:w="196"/>
        <w:gridCol w:w="871"/>
        <w:gridCol w:w="109"/>
        <w:gridCol w:w="109"/>
        <w:gridCol w:w="109"/>
        <w:gridCol w:w="109"/>
        <w:gridCol w:w="236"/>
        <w:gridCol w:w="936"/>
        <w:gridCol w:w="131"/>
        <w:gridCol w:w="109"/>
        <w:gridCol w:w="109"/>
        <w:gridCol w:w="109"/>
        <w:gridCol w:w="190"/>
        <w:gridCol w:w="190"/>
        <w:gridCol w:w="191"/>
        <w:gridCol w:w="109"/>
        <w:gridCol w:w="109"/>
        <w:gridCol w:w="109"/>
        <w:gridCol w:w="196"/>
        <w:gridCol w:w="903"/>
        <w:gridCol w:w="160"/>
      </w:tblGrid>
      <w:tr>
        <w:trPr/>
        <w:tc>
          <w:tcPr>
            <w:tcW w:w="203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 Colorado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3,609,730 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(1,263,840)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ground leases,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 - operating leases,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real estate investments,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(104,948)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2,409,513 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held for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leasehold interests in land held for development,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investments,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(104,948)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2,633,044 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escrow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rent receivable, net of allowance of $424 as of March 31,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real estate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3,617,767 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BENEFICIARIES'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Secured debt,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senior notes,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2,073,656 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gains and 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2,840,597 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Brandywine Realty Trust's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of Brandywine Realty Trust's beneficial interest, $0.01 par value; shares authorized 400,000,000; 173,711,845 issued and outstanding as of March 31,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3,202,662 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payable in common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in grantor trust, 1,947,350 issued and outstanding as of March 31,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distributions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(3,026,869)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Brandywine Realty Trust's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772,291 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beneficiaries'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777,170 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beneficiaries'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3,617,767 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STATEMENT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66"/>
        <w:gridCol w:w="1285"/>
        <w:gridCol w:w="1303"/>
        <w:gridCol w:w="221"/>
        <w:gridCol w:w="830"/>
        <w:gridCol w:w="116"/>
        <w:gridCol w:w="109"/>
        <w:gridCol w:w="109"/>
        <w:gridCol w:w="109"/>
        <w:gridCol w:w="327"/>
        <w:gridCol w:w="1037"/>
        <w:gridCol w:w="182"/>
        <w:gridCol w:w="109"/>
        <w:gridCol w:w="109"/>
        <w:gridCol w:w="109"/>
        <w:gridCol w:w="197"/>
        <w:gridCol w:w="197"/>
        <w:gridCol w:w="199"/>
        <w:gridCol w:w="109"/>
        <w:gridCol w:w="109"/>
        <w:gridCol w:w="109"/>
        <w:gridCol w:w="221"/>
        <w:gridCol w:w="830"/>
        <w:gridCol w:w="109"/>
        <w:gridCol w:w="109"/>
        <w:gridCol w:w="109"/>
        <w:gridCol w:w="109"/>
        <w:gridCol w:w="109"/>
        <w:gridCol w:w="109"/>
        <w:gridCol w:w="159"/>
      </w:tblGrid>
      <w:tr>
        <w:trPr/>
        <w:tc>
          <w:tcPr>
            <w:tcW w:w="14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 Colorado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(4,703)</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Operating income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(48,591)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173,756,736 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173,756,736 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173,756,736 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173,756,736 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CONSOLIDATED STATEMENT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62"/>
        <w:gridCol w:w="1277"/>
        <w:gridCol w:w="1295"/>
        <w:gridCol w:w="217"/>
        <w:gridCol w:w="837"/>
        <w:gridCol w:w="110"/>
        <w:gridCol w:w="109"/>
        <w:gridCol w:w="109"/>
        <w:gridCol w:w="109"/>
        <w:gridCol w:w="303"/>
        <w:gridCol w:w="1096"/>
        <w:gridCol w:w="168"/>
        <w:gridCol w:w="109"/>
        <w:gridCol w:w="109"/>
        <w:gridCol w:w="109"/>
        <w:gridCol w:w="197"/>
        <w:gridCol w:w="197"/>
        <w:gridCol w:w="199"/>
        <w:gridCol w:w="109"/>
        <w:gridCol w:w="109"/>
        <w:gridCol w:w="109"/>
        <w:gridCol w:w="217"/>
        <w:gridCol w:w="834"/>
        <w:gridCol w:w="109"/>
        <w:gridCol w:w="109"/>
        <w:gridCol w:w="109"/>
        <w:gridCol w:w="109"/>
        <w:gridCol w:w="109"/>
        <w:gridCol w:w="109"/>
        <w:gridCol w:w="161"/>
      </w:tblGrid>
      <w:tr>
        <w:trPr/>
        <w:tc>
          <w:tcPr>
            <w:tcW w:w="146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BDN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 Colorado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Pro Forma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457,504 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on sale of real estate</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disposition of real estate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 of undepreciated real estate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real estate</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Operating income </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(178,755)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(178,867)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NOTES TO UNAUDITED PRO FORMA CONSOLIDATED FINANCIAL STATEMENTS</w:t>
      </w:r>
    </w:p>
    <w:p>
      <w:pPr>
        <w:pStyle w:val="TextBody"/>
        <w:bidi w:val="0"/>
        <w:spacing w:lineRule="auto" w:line="288" w:before="0" w:after="0"/>
        <w:ind w:left="0" w:right="0" w:firstLine="1215"/>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pro forma consolidated balance sheet as of March 31, 2026 and the pro forma consolidated statement of operations for the three months ended March 31, 2026 were derived from our historical consolidated financial statements included in our Quarterly Report on Form 10-Q as of and for the three months ended March 31, 2026. The pro forma consolidated statement of operations for the year ended December 31, 2025 was derived from our historical consolidated financial statements included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Note 2. Pro Forma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405 Colorado Disposition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On July 9, 2026, we completed the disposition of a 206,000 square foot office building and its 520-space above ground parking garage located in Austin, Texas, to an unaffiliated third party for a sales price of $151.0 million and net proceeds of approximately $146.1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Balance Sheet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These adjustments represent the elimination of the carrying value of the assets and liabilities of the property disposed.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 This adjustment represents the net proceeds received from the disposition of the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 This adjustment represents the pro forma gain on sale of the property. The actual gain on sale of the property recorded upon completion of this disposition may differ materially from the pro forma gain on sale of real estate as a result of events that occurred during the third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6"/>
        </w:rPr>
      </w:pPr>
      <w:r>
        <w:rPr>
          <w:rFonts w:ascii="Times New Roman;serif" w:hAnsi="Times New Roman;serif"/>
          <w:b/>
          <w:i/>
          <w:color w:val="000000"/>
          <w:sz w:val="16"/>
        </w:rPr>
        <w:t>Statements of Operations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(d) These adjustments represent the elimination of the revenue and expenses of the property disposed that were recorded during the three months ended March 31, 2026 and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(e) Adjustment for the three months ended March 31, 2026 includes (i) $2.6 million of contractual base rent, (ii) $1.3 million of reimbursable tenant costs, (iii) $0.7 million of parking rent, and (iv) $0.1 million of straight-line rent adjustments. Adjustment for the year ended December 31, 2025 includes (i) $10.0 million of contractual base rent, (ii) $5.9 million of reimbursable tenant costs, (iii) $2.7 million of parking rent, and (iv) $0.6 million of straight-line rent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 This adjustment represents the pro forma gain on sale of real estate and has been presented as if the disposition of the property had occurred on January 1, 2025. The actual gain on sale of real estate recorded upon completion of this disposition may differ materially from the pro forma gain on sale of real estate as a result of events that occurred during the second quarter of 2026.</w:t>
      </w:r>
    </w:p>
    <w:p>
      <w:pPr>
        <w:pStyle w:val="TextBody"/>
        <w:bidi w:val="0"/>
        <w:spacing w:before="100" w:after="283"/>
        <w:jc w:val="center"/>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2278</Words>
  <Characters>12827</Characters>
  <CharactersWithSpaces>14783</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