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5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8"/>
          <w:szCs w:val="28"/>
          <w:b w:val="1"/>
          <w:bCs w:val="1"/>
          <w:color w:val="auto"/>
        </w:rPr>
        <w:t>CURRENT REPORT</w:t>
      </w:r>
    </w:p>
    <w:p>
      <w:pPr>
        <w:spacing w:after="0" w:line="20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 May 28, 2026</w:t>
      </w:r>
    </w:p>
    <w:p>
      <w:pPr>
        <w:spacing w:after="0" w:line="20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BRANDYWINE REALTY TRUST</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BRANDYWINE OPERATING PARTNERSHIP, L.P.</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365"/>
        </w:trPr>
        <w:tc>
          <w:tcPr>
            <w:tcW w:w="440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(Brandywine Realty Trust)</w:t>
            </w:r>
          </w:p>
        </w:tc>
        <w:tc>
          <w:tcPr>
            <w:tcW w:w="234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001-9106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23-2413352</w:t>
            </w:r>
          </w:p>
        </w:tc>
      </w:tr>
      <w:tr>
        <w:trPr>
          <w:trHeight w:val="364"/>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64"/>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(Brandywine Operating Partnership, L.P.)</w:t>
            </w:r>
          </w:p>
        </w:tc>
        <w:tc>
          <w:tcPr>
            <w:tcW w:w="234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000-24407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23-2862640</w:t>
            </w:r>
          </w:p>
        </w:tc>
      </w:tr>
      <w:tr>
        <w:trPr>
          <w:trHeight w:val="154"/>
        </w:trPr>
        <w:tc>
          <w:tcPr>
            <w:tcW w:w="3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r>
        <w:trPr>
          <w:trHeight w:val="156"/>
        </w:trPr>
        <w:tc>
          <w:tcPr>
            <w:tcW w:w="3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(Commission file number)</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210"/>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color w:val="auto"/>
              </w:rPr>
              <w:t>or Organization)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r>
    </w:tbl>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2929 Arch Street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Suite 1800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(610) 325-5600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5"/>
        </w:trPr>
        <w:tc>
          <w:tcPr>
            <w:tcW w:w="41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r>
      <w:tr>
        <w:trPr>
          <w:trHeight w:val="204"/>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BDN</w:t>
            </w:r>
          </w:p>
        </w:tc>
        <w:tc>
          <w:tcPr>
            <w:tcW w:w="50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NYSE</w:t>
            </w:r>
          </w:p>
        </w:tc>
      </w:tr>
    </w:tbl>
    <w:p>
      <w:pPr>
        <w:spacing w:after="0" w:line="338" w:lineRule="exact"/>
        <w:rPr>
          <w:sz w:val="24"/>
          <w:szCs w:val="24"/>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Brandywine Realty Trust</w:t>
      </w:r>
      <w:r>
        <w:rPr>
          <w:rFonts w:ascii="Times New Roman" w:cs="Times New Roman" w:eastAsia="Times New Roman" w:hAnsi="Times New Roman"/>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Brandywine Operating Partnership, L.P.</w:t>
      </w:r>
      <w:r>
        <w:rPr>
          <w:rFonts w:ascii="Times New Roman" w:cs="Times New Roman" w:eastAsia="Times New Roman" w:hAnsi="Times New Roman"/>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Brandywine Realty Trust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Brandywine Operating Partnership, L.P.</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8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May 28, 2026, Brandywine Realty Trust, a Maryland real estate investment trust (the “Company”), and its operating partnership, Brandywine Operating Partnership, L.P., a Delaware limited partnership (the “Operating Partnership” and, together with the Company, the “Borrowers”) extended the maturity date of the Borrowers’ revolving credit facility (the “Revolving Credit Facility”) provided under the Borrowers’ Second Amended and Restated Credit Agreement, dated as of June 30, 2022 (the “Credit Agreement”), by and among the Borrowers, Bank of America, N.A., as administrative agent and lender, and the other agents and lenders party thereto, for a period of six months from June 30, 2026 to December 30, 2026. The Revolving Credit Facility has a scheduled maturity date of June 30, 2026, subject to two six-month extensions available at the Borrowers’ option on specified terms and conditions.</w:t>
      </w:r>
    </w:p>
    <w:p>
      <w:pPr>
        <w:spacing w:after="0" w:line="2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connection therewith, the Borrowers submitted a written extension notice to the administrative agent and paid an extension fee equal to 0.0625% of the Revolving Credit Facility. Other than the extension of the maturity date for the Revolving Credit Facility, no other provisions of the Credit Agreement were modified. A copy of the Credit Agreement was previously filed with the U.S. Securities and Exchange Commission on a Current Report on Form 8-K on June 30, 2022.</w:t>
      </w:r>
    </w:p>
    <w:p>
      <w:pPr>
        <w:spacing w:after="0" w:line="200" w:lineRule="exact"/>
        <w:rPr>
          <w:sz w:val="20"/>
          <w:szCs w:val="20"/>
          <w:color w:val="auto"/>
        </w:rPr>
      </w:pPr>
    </w:p>
    <w:p>
      <w:pPr>
        <w:spacing w:after="0" w:line="274" w:lineRule="exact"/>
        <w:rPr>
          <w:sz w:val="20"/>
          <w:szCs w:val="20"/>
          <w:color w:val="auto"/>
        </w:rPr>
      </w:pPr>
    </w:p>
    <w:p>
      <w:pPr>
        <w:jc w:val="center"/>
        <w:ind w:right="136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Form on Form 8-K is incorporated by reference into this Item 2.03.</w:t>
      </w:r>
    </w:p>
    <w:p>
      <w:pPr>
        <w:spacing w:after="0" w:line="275" w:lineRule="exact"/>
        <w:rPr>
          <w:sz w:val="20"/>
          <w:szCs w:val="20"/>
          <w:color w:val="auto"/>
        </w:rPr>
      </w:pPr>
    </w:p>
    <w:p>
      <w:pPr>
        <w:ind w:left="900" w:right="180" w:hanging="1036"/>
        <w:spacing w:after="0" w:line="271"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225" w:lineRule="exact"/>
        <w:rPr>
          <w:sz w:val="20"/>
          <w:szCs w:val="20"/>
          <w:color w:val="auto"/>
        </w:rPr>
      </w:pPr>
    </w:p>
    <w:p>
      <w:pPr>
        <w:jc w:val="both"/>
        <w:ind w:firstLine="8"/>
        <w:spacing w:after="0" w:line="241"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Shareholders (the “Annual Meeting”) of the Company was held on May 28, 2026. At the Annual Meeting, the Company’s shareholders approved an amendment (the “Amendment”) to the Company’s 2023 Long-Term Incentive Plan (the “2023 Plan”) to increase the number of common shares that may be issued thereunder by 5,000,000 shares and to extend the term of the 2023 Plan to March 19, 2036. The Amendment was approved by the Company’s Board of Directors on March 19, 2026, subject to shareholder approval in accordance with the terms of the 2023 Plan and New York Stock Exchange Listing requirements. Other than the increase in the number of shares subject to the 2023 Plan and the extension of the term of the 2023 Plan, the Amendment makes no other changes to the 2023 Plan.</w:t>
      </w:r>
    </w:p>
    <w:p>
      <w:pPr>
        <w:spacing w:after="0" w:line="23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For a description of the principal terms of the 2023 Plan, as amended, see “Proposal 4: Approval of the Amendment to the 2023 Long-Tern Incentive Plan” in the Company’s definitive proxy statement for the Annual Meeting filed with the Securities and Exchange Commission on April 7, 2026, which description is incorporated herein by reference. A copy of the 2023 Plan, as amended, is filed as Exhibit 10.2 to this Current Report on Form 8-K and is incorporated herein by reference.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As noted above, the Annual Meeting was held on May 28, 2026. At the Annual Meeting, the Company’s shareholders voted on: (1) the election of six trustees, each to serve for a term expiring at the 2027 annual meeting of shareholders and until his or her successor is duly elected and qualified; (2) the ratification of the appointment of PricewaterhouseCoopers LLP as the Company’s independent registered public accounting firm for calendar year 2026;</w:t>
      </w:r>
    </w:p>
    <w:p>
      <w:pPr>
        <w:spacing w:after="0" w:line="1" w:lineRule="exact"/>
        <w:rPr>
          <w:sz w:val="20"/>
          <w:szCs w:val="20"/>
          <w:color w:val="auto"/>
        </w:rPr>
      </w:pPr>
    </w:p>
    <w:p>
      <w:pPr>
        <w:ind w:firstLine="8"/>
        <w:spacing w:after="0" w:line="243"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resolution regarding the compensation of the Company’s named executive officers; and (4) the Amendment. The voting results for these proposals were as follows: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trustees to serve until the 2027 annual meeting of shareholders and until his or her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97" w:lineRule="exact"/>
        <w:rPr>
          <w:sz w:val="20"/>
          <w:szCs w:val="20"/>
          <w:color w:val="auto"/>
        </w:rPr>
      </w:pPr>
    </w:p>
    <w:tbl>
      <w:tblPr>
        <w:tblLayout w:type="fixed"/>
        <w:tblInd w:w="110" w:type="dxa"/>
        <w:tblCellMar>
          <w:top w:w="0" w:type="dxa"/>
          <w:left w:w="0" w:type="dxa"/>
          <w:bottom w:w="0" w:type="dxa"/>
          <w:right w:w="0" w:type="dxa"/>
        </w:tblCellMar>
      </w:tblPr>
      <w:tr>
        <w:trPr>
          <w:trHeight w:val="243"/>
        </w:trPr>
        <w:tc>
          <w:tcPr>
            <w:tcW w:w="2800" w:type="dxa"/>
            <w:vAlign w:val="bottom"/>
            <w:tcBorders>
              <w:top w:val="single" w:sz="8" w:color="auto"/>
              <w:left w:val="single" w:sz="8" w:color="auto"/>
              <w:right w:val="single" w:sz="8" w:color="auto"/>
            </w:tcBorders>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206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60" w:type="dxa"/>
            <w:vAlign w:val="bottom"/>
            <w:tcBorders>
              <w:top w:val="single" w:sz="8" w:color="auto"/>
              <w:right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80" w:type="dxa"/>
            <w:vAlign w:val="bottom"/>
            <w:tcBorders>
              <w:top w:val="single" w:sz="8" w:color="auto"/>
              <w:right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80" w:type="dxa"/>
            <w:vAlign w:val="bottom"/>
            <w:tcBorders>
              <w:top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0" w:type="dxa"/>
            <w:vAlign w:val="bottom"/>
          </w:tcPr>
          <w:p>
            <w:pPr>
              <w:spacing w:after="0"/>
              <w:rPr>
                <w:sz w:val="1"/>
                <w:szCs w:val="1"/>
                <w:color w:val="auto"/>
              </w:rPr>
            </w:pPr>
          </w:p>
        </w:tc>
      </w:tr>
      <w:tr>
        <w:trPr>
          <w:trHeight w:val="238"/>
        </w:trPr>
        <w:tc>
          <w:tcPr>
            <w:tcW w:w="2800" w:type="dxa"/>
            <w:vAlign w:val="bottom"/>
            <w:tcBorders>
              <w:left w:val="single" w:sz="8" w:color="auto"/>
              <w:right w:val="single" w:sz="8" w:color="auto"/>
            </w:tcBorders>
            <w:vMerge w:val="continue"/>
          </w:tcPr>
          <w:p>
            <w:pPr>
              <w:spacing w:after="0"/>
              <w:rPr>
                <w:sz w:val="20"/>
                <w:szCs w:val="20"/>
                <w:color w:val="auto"/>
              </w:rPr>
            </w:pPr>
          </w:p>
        </w:tc>
        <w:tc>
          <w:tcPr>
            <w:tcW w:w="2060" w:type="dxa"/>
            <w:vAlign w:val="bottom"/>
            <w:tcBorders>
              <w:right w:val="single" w:sz="8" w:color="auto"/>
            </w:tcBorders>
            <w:vMerge w:val="continue"/>
          </w:tcPr>
          <w:p>
            <w:pPr>
              <w:spacing w:after="0"/>
              <w:rPr>
                <w:sz w:val="20"/>
                <w:szCs w:val="20"/>
                <w:color w:val="auto"/>
              </w:rPr>
            </w:pPr>
          </w:p>
        </w:tc>
        <w:tc>
          <w:tcPr>
            <w:tcW w:w="2060" w:type="dxa"/>
            <w:vAlign w:val="bottom"/>
            <w:tcBorders>
              <w:right w:val="single" w:sz="8" w:color="auto"/>
            </w:tcBorders>
            <w:vMerge w:val="continue"/>
          </w:tcPr>
          <w:p>
            <w:pPr>
              <w:spacing w:after="0"/>
              <w:rPr>
                <w:sz w:val="20"/>
                <w:szCs w:val="20"/>
                <w:color w:val="auto"/>
              </w:rPr>
            </w:pPr>
          </w:p>
        </w:tc>
        <w:tc>
          <w:tcPr>
            <w:tcW w:w="2080" w:type="dxa"/>
            <w:vAlign w:val="bottom"/>
            <w:tcBorders>
              <w:right w:val="single" w:sz="8" w:color="auto"/>
            </w:tcBorders>
            <w:vMerge w:val="continue"/>
          </w:tcPr>
          <w:p>
            <w:pPr>
              <w:spacing w:after="0"/>
              <w:rPr>
                <w:sz w:val="20"/>
                <w:szCs w:val="20"/>
                <w:color w:val="auto"/>
              </w:rPr>
            </w:pPr>
          </w:p>
        </w:tc>
        <w:tc>
          <w:tcPr>
            <w:tcW w:w="208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0" w:type="dxa"/>
            <w:vAlign w:val="bottom"/>
          </w:tcPr>
          <w:p>
            <w:pPr>
              <w:spacing w:after="0"/>
              <w:rPr>
                <w:sz w:val="1"/>
                <w:szCs w:val="1"/>
                <w:color w:val="auto"/>
              </w:rPr>
            </w:pPr>
          </w:p>
        </w:tc>
      </w:tr>
      <w:tr>
        <w:trPr>
          <w:trHeight w:val="32"/>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Reginald DesRoches</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96,347,065</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10,951,247</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171,998</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35,130,456</w:t>
            </w:r>
          </w:p>
        </w:tc>
        <w:tc>
          <w:tcPr>
            <w:tcW w:w="0" w:type="dxa"/>
            <w:vAlign w:val="bottom"/>
          </w:tcPr>
          <w:p>
            <w:pPr>
              <w:spacing w:after="0"/>
              <w:rPr>
                <w:sz w:val="1"/>
                <w:szCs w:val="1"/>
                <w:color w:val="auto"/>
              </w:rPr>
            </w:pPr>
          </w:p>
        </w:tc>
      </w:tr>
      <w:tr>
        <w:trPr>
          <w:trHeight w:val="41"/>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James C. Diggs</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93,330,452</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14,002,211</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137,647</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35,130,456</w:t>
            </w: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 Richard Haverstick, Jr.</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96,403,674</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10,923,335</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143,301</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35,130,456</w:t>
            </w:r>
          </w:p>
        </w:tc>
        <w:tc>
          <w:tcPr>
            <w:tcW w:w="0" w:type="dxa"/>
            <w:vAlign w:val="bottom"/>
          </w:tcPr>
          <w:p>
            <w:pPr>
              <w:spacing w:after="0"/>
              <w:rPr>
                <w:sz w:val="1"/>
                <w:szCs w:val="1"/>
                <w:color w:val="auto"/>
              </w:rPr>
            </w:pPr>
          </w:p>
        </w:tc>
      </w:tr>
      <w:tr>
        <w:trPr>
          <w:trHeight w:val="40"/>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Joan M. Lau</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83,634,464</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23,692,625</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143,221</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35,130,456</w:t>
            </w:r>
          </w:p>
        </w:tc>
        <w:tc>
          <w:tcPr>
            <w:tcW w:w="0" w:type="dxa"/>
            <w:vAlign w:val="bottom"/>
          </w:tcPr>
          <w:p>
            <w:pPr>
              <w:spacing w:after="0"/>
              <w:rPr>
                <w:sz w:val="1"/>
                <w:szCs w:val="1"/>
                <w:color w:val="auto"/>
              </w:rPr>
            </w:pPr>
          </w:p>
        </w:tc>
      </w:tr>
      <w:tr>
        <w:trPr>
          <w:trHeight w:val="54"/>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Charles P. Pizzi</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86,797,533</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20,538,365</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134,412</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35,130,456</w:t>
            </w:r>
          </w:p>
        </w:tc>
        <w:tc>
          <w:tcPr>
            <w:tcW w:w="0" w:type="dxa"/>
            <w:vAlign w:val="bottom"/>
          </w:tcPr>
          <w:p>
            <w:pPr>
              <w:spacing w:after="0"/>
              <w:rPr>
                <w:sz w:val="1"/>
                <w:szCs w:val="1"/>
                <w:color w:val="auto"/>
              </w:rPr>
            </w:pPr>
          </w:p>
        </w:tc>
      </w:tr>
      <w:tr>
        <w:trPr>
          <w:trHeight w:val="54"/>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Gerard H. Sweeney</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98,126,668</w:t>
            </w:r>
          </w:p>
        </w:tc>
        <w:tc>
          <w:tcPr>
            <w:tcW w:w="20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9,213,332</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130,310</w:t>
            </w:r>
          </w:p>
        </w:tc>
        <w:tc>
          <w:tcPr>
            <w:tcW w:w="20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35,130,456</w:t>
            </w:r>
          </w:p>
        </w:tc>
        <w:tc>
          <w:tcPr>
            <w:tcW w:w="0" w:type="dxa"/>
            <w:vAlign w:val="bottom"/>
          </w:tcPr>
          <w:p>
            <w:pPr>
              <w:spacing w:after="0"/>
              <w:rPr>
                <w:sz w:val="1"/>
                <w:szCs w:val="1"/>
                <w:color w:val="auto"/>
              </w:rPr>
            </w:pPr>
          </w:p>
        </w:tc>
      </w:tr>
      <w:tr>
        <w:trPr>
          <w:trHeight w:val="54"/>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Ratification of the appointment of PricewaterhouseCoopers LLP as the Company’s independent registered public accounting firm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year 2026.</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60" w:type="dxa"/>
            <w:vAlign w:val="bottom"/>
            <w:tcBorders>
              <w:top w:val="single" w:sz="8" w:color="auto"/>
              <w:left w:val="single" w:sz="8" w:color="auto"/>
              <w:right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00" w:type="dxa"/>
            <w:vAlign w:val="bottom"/>
            <w:tcBorders>
              <w:top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20" w:type="dxa"/>
            <w:vAlign w:val="bottom"/>
            <w:tcBorders>
              <w:top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326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23"/>
        </w:trPr>
        <w:tc>
          <w:tcPr>
            <w:tcW w:w="3260" w:type="dxa"/>
            <w:vAlign w:val="bottom"/>
            <w:tcBorders>
              <w:left w:val="single" w:sz="8" w:color="auto"/>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134,853,955</w:t>
            </w:r>
          </w:p>
        </w:tc>
        <w:tc>
          <w:tcPr>
            <w:tcW w:w="260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7,100,190</w:t>
            </w:r>
          </w:p>
        </w:tc>
        <w:tc>
          <w:tcPr>
            <w:tcW w:w="222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646,621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Non-binding, advisory resolution regarding the compensation of the Company’s named executive officers.</w:t>
      </w:r>
    </w:p>
    <w:p>
      <w:pPr>
        <w:spacing w:after="0" w:line="254"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2820" w:type="dxa"/>
            <w:vAlign w:val="bottom"/>
            <w:tcBorders>
              <w:top w:val="single" w:sz="8" w:color="auto"/>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tcBorders>
              <w:top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tcBorders>
              <w:top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3"/>
        </w:trPr>
        <w:tc>
          <w:tcPr>
            <w:tcW w:w="2820" w:type="dxa"/>
            <w:vAlign w:val="bottom"/>
            <w:tcBorders>
              <w:left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89,701,582</w:t>
            </w:r>
          </w:p>
        </w:tc>
        <w:tc>
          <w:tcPr>
            <w:tcW w:w="28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17,335,333</w:t>
            </w:r>
          </w:p>
        </w:tc>
        <w:tc>
          <w:tcPr>
            <w:tcW w:w="2800" w:type="dxa"/>
            <w:vAlign w:val="bottom"/>
            <w:tcBorders>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433,395</w:t>
            </w:r>
          </w:p>
        </w:tc>
        <w:tc>
          <w:tcPr>
            <w:tcW w:w="280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35,130,456</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amendment to the Company’s 2023 Long-Term Incentive Plan.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 w:type="dxa"/>
            <w:vAlign w:val="bottom"/>
            <w:tcBorders>
              <w:right w:val="single" w:sz="8" w:color="auto"/>
            </w:tcBorders>
          </w:tcPr>
          <w:p>
            <w:pPr>
              <w:spacing w:after="0"/>
              <w:rPr>
                <w:sz w:val="22"/>
                <w:szCs w:val="22"/>
                <w:color w:val="auto"/>
              </w:rPr>
            </w:pPr>
          </w:p>
        </w:tc>
        <w:tc>
          <w:tcPr>
            <w:tcW w:w="15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 w:type="dxa"/>
            <w:vAlign w:val="bottom"/>
            <w:tcBorders>
              <w:top w:val="single" w:sz="8" w:color="auto"/>
            </w:tcBorders>
          </w:tcPr>
          <w:p>
            <w:pPr>
              <w:spacing w:after="0"/>
              <w:rPr>
                <w:sz w:val="22"/>
                <w:szCs w:val="22"/>
                <w:color w:val="auto"/>
              </w:rPr>
            </w:pPr>
          </w:p>
        </w:tc>
        <w:tc>
          <w:tcPr>
            <w:tcW w:w="1200" w:type="dxa"/>
            <w:vAlign w:val="bottom"/>
            <w:tcBorders>
              <w:top w:val="single" w:sz="8" w:color="auto"/>
              <w:right w:val="single" w:sz="8" w:color="auto"/>
            </w:tcBorders>
          </w:tcPr>
          <w:p>
            <w:pPr>
              <w:spacing w:after="0"/>
              <w:rPr>
                <w:sz w:val="22"/>
                <w:szCs w:val="22"/>
                <w:color w:val="auto"/>
              </w:rPr>
            </w:pPr>
          </w:p>
        </w:tc>
        <w:tc>
          <w:tcPr>
            <w:tcW w:w="2800" w:type="dxa"/>
            <w:vAlign w:val="bottom"/>
            <w:tcBorders>
              <w:top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tcBorders>
              <w:top w:val="single" w:sz="8" w:color="auto"/>
              <w:right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20" w:type="dxa"/>
            <w:vAlign w:val="bottom"/>
            <w:tcBorders>
              <w:top w:val="single" w:sz="8" w:color="auto"/>
              <w:right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80" w:type="dxa"/>
            <w:vAlign w:val="bottom"/>
            <w:tcBorders>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32"/>
        </w:trPr>
        <w:tc>
          <w:tcPr>
            <w:tcW w:w="80" w:type="dxa"/>
            <w:vAlign w:val="bottom"/>
            <w:tcBorders>
              <w:right w:val="single" w:sz="8" w:color="auto"/>
            </w:tcBorders>
          </w:tcPr>
          <w:p>
            <w:pPr>
              <w:spacing w:after="0"/>
              <w:rPr>
                <w:sz w:val="20"/>
                <w:szCs w:val="20"/>
                <w:color w:val="auto"/>
              </w:rPr>
            </w:pP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76,815,675</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30,406,339</w:t>
            </w:r>
          </w:p>
        </w:tc>
        <w:tc>
          <w:tcPr>
            <w:tcW w:w="82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248,296</w:t>
            </w:r>
          </w:p>
        </w:tc>
        <w:tc>
          <w:tcPr>
            <w:tcW w:w="26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35,130,456</w:t>
            </w:r>
          </w:p>
        </w:tc>
        <w:tc>
          <w:tcPr>
            <w:tcW w:w="160" w:type="dxa"/>
            <w:vAlign w:val="bottom"/>
            <w:tcBorders>
              <w:bottom w:val="single" w:sz="8" w:color="auto"/>
              <w:right w:val="single" w:sz="8" w:color="auto"/>
            </w:tcBorders>
          </w:tcPr>
          <w:p>
            <w:pPr>
              <w:spacing w:after="0"/>
              <w:rPr>
                <w:sz w:val="20"/>
                <w:szCs w:val="20"/>
                <w:color w:val="auto"/>
              </w:rPr>
            </w:pPr>
          </w:p>
        </w:tc>
      </w:tr>
      <w:tr>
        <w:trPr>
          <w:trHeight w:val="767"/>
        </w:trPr>
        <w:tc>
          <w:tcPr>
            <w:tcW w:w="56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91"/>
        </w:trPr>
        <w:tc>
          <w:tcPr>
            <w:tcW w:w="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 No.</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83"/>
        </w:trPr>
        <w:tc>
          <w:tcPr>
            <w:tcW w:w="80" w:type="dxa"/>
            <w:vAlign w:val="bottom"/>
          </w:tcPr>
          <w:p>
            <w:pPr>
              <w:spacing w:after="0"/>
              <w:rPr>
                <w:sz w:val="15"/>
                <w:szCs w:val="15"/>
                <w:color w:val="auto"/>
              </w:rPr>
            </w:pPr>
          </w:p>
        </w:tc>
        <w:tc>
          <w:tcPr>
            <w:tcW w:w="14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180" w:type="dxa"/>
            <w:vAlign w:val="bottom"/>
            <w:tcBorders>
              <w:top w:val="single" w:sz="8" w:color="auto"/>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Revolving Credit Facility Extension Notice.</w:t>
            </w:r>
          </w:p>
        </w:tc>
        <w:tc>
          <w:tcPr>
            <w:tcW w:w="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r>
      <w:tr>
        <w:trPr>
          <w:trHeight w:val="210"/>
        </w:trPr>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7"/>
          </w:tcPr>
          <w:p>
            <w:pPr>
              <w:spacing w:after="0"/>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Brandywine Realty Trust 2023 Long-Term Incentive Plan, as amended (incorporated by reference to Appendix B to the Company’s</w:t>
              </w:r>
            </w:hyperlink>
          </w:p>
        </w:tc>
      </w:tr>
      <w:tr>
        <w:trPr>
          <w:trHeight w:val="169"/>
        </w:trPr>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0">
              <w:r>
                <w:rPr>
                  <w:rFonts w:ascii="Times New Roman" w:cs="Times New Roman" w:eastAsia="Times New Roman" w:hAnsi="Times New Roman"/>
                  <w:sz w:val="18"/>
                  <w:szCs w:val="18"/>
                  <w:color w:val="0000FF"/>
                  <w:w w:val="99"/>
                </w:rPr>
                <w:t>Definitive Proxy Statement on Schedule 14A filed on April 7, 2026).</w:t>
              </w:r>
            </w:hyperlink>
          </w:p>
        </w:tc>
        <w:tc>
          <w:tcPr>
            <w:tcW w:w="1820" w:type="dxa"/>
            <w:vAlign w:val="bottom"/>
            <w:tcBorders>
              <w:top w:val="single" w:sz="8" w:color="0000FF"/>
            </w:tcBorders>
          </w:tcPr>
          <w:p>
            <w:pPr>
              <w:spacing w:after="0"/>
              <w:rPr>
                <w:sz w:val="14"/>
                <w:szCs w:val="14"/>
                <w:color w:val="auto"/>
              </w:rPr>
            </w:pPr>
          </w:p>
        </w:tc>
        <w:tc>
          <w:tcPr>
            <w:tcW w:w="266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r>
      <w:tr>
        <w:trPr>
          <w:trHeight w:val="250"/>
        </w:trPr>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6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681"/>
        </w:trPr>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 w:name="page4"/>
    <w:bookmarkEnd w:id="3"/>
    <w:p>
      <w:pPr>
        <w:ind w:left="52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RANDYWINE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p>
    <w:p>
      <w:pPr>
        <w:spacing w:after="0" w:line="306" w:lineRule="exact"/>
        <w:rPr>
          <w:sz w:val="20"/>
          <w:szCs w:val="20"/>
          <w:color w:val="auto"/>
        </w:rPr>
      </w:pPr>
    </w:p>
    <w:p>
      <w:pPr>
        <w:ind w:left="5800"/>
        <w:spacing w:after="0"/>
        <w:tabs>
          <w:tab w:leader="none" w:pos="6280" w:val="left"/>
        </w:tabs>
        <w:rPr>
          <w:sz w:val="20"/>
          <w:szCs w:val="20"/>
          <w:color w:val="auto"/>
        </w:rPr>
      </w:pPr>
      <w:r>
        <w:rPr>
          <w:rFonts w:ascii="Times New Roman" w:cs="Times New Roman" w:eastAsia="Times New Roman" w:hAnsi="Times New Roman"/>
          <w:sz w:val="18"/>
          <w:szCs w:val="18"/>
          <w:color w:val="auto"/>
        </w:rPr>
        <w:t>By:</w:t>
        <w:tab/>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RANDYWINE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ARTNERSHIP</w:t>
      </w:r>
      <w:r>
        <w:rPr>
          <w:rFonts w:ascii="Times New Roman" w:cs="Times New Roman" w:eastAsia="Times New Roman" w:hAnsi="Times New Roman"/>
          <w:sz w:val="18"/>
          <w:szCs w:val="18"/>
          <w:color w:val="auto"/>
        </w:rPr>
        <w:t>, L.P.</w:t>
      </w:r>
    </w:p>
    <w:p>
      <w:pPr>
        <w:spacing w:after="0" w:line="306" w:lineRule="exact"/>
        <w:rPr>
          <w:sz w:val="20"/>
          <w:szCs w:val="20"/>
          <w:color w:val="auto"/>
        </w:rPr>
      </w:pPr>
    </w:p>
    <w:p>
      <w:pPr>
        <w:ind w:left="5800"/>
        <w:spacing w:after="0"/>
        <w:tabs>
          <w:tab w:leader="none" w:pos="628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tab/>
        <w:t>B</w:t>
      </w:r>
      <w:r>
        <w:rPr>
          <w:rFonts w:ascii="Times New Roman" w:cs="Times New Roman" w:eastAsia="Times New Roman" w:hAnsi="Times New Roman"/>
          <w:sz w:val="14"/>
          <w:szCs w:val="14"/>
          <w:color w:val="auto"/>
        </w:rPr>
        <w:t>RANDYWINE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ITS</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ARTNER</w:t>
      </w:r>
    </w:p>
    <w:p>
      <w:pPr>
        <w:spacing w:after="0" w:line="306" w:lineRule="exact"/>
        <w:rPr>
          <w:sz w:val="20"/>
          <w:szCs w:val="20"/>
          <w:color w:val="auto"/>
        </w:rPr>
      </w:pPr>
    </w:p>
    <w:p>
      <w:pPr>
        <w:ind w:left="5800"/>
        <w:spacing w:after="0"/>
        <w:tabs>
          <w:tab w:leader="none" w:pos="628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tab/>
        <w:t>/s/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222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Gerard H. Sweeney</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ectPr>
          <w:pgSz w:w="11900" w:h="16838" w:orient="portrait"/>
          <w:cols w:equalWidth="0" w:num="1">
            <w:col w:w="10340"/>
          </w:cols>
          <w:pgMar w:left="320" w:top="1089" w:right="1239" w:bottom="1440" w:gutter="0" w:footer="0" w:header="0"/>
        </w:sectPr>
      </w:pPr>
    </w:p>
    <w:bookmarkStart w:id="4" w:name="page5"/>
    <w:bookmarkEnd w:id="4"/>
    <w:p>
      <w:pPr>
        <w:jc w:val="center"/>
        <w:spacing w:after="0" w:line="336" w:lineRule="auto"/>
        <w:rPr>
          <w:sz w:val="20"/>
          <w:szCs w:val="20"/>
          <w:color w:val="auto"/>
        </w:rPr>
      </w:pPr>
      <w:r>
        <w:rPr>
          <w:sz w:val="1"/>
          <w:szCs w:val="1"/>
          <w:color w:val="auto"/>
        </w:rPr>
        <w:drawing>
          <wp:inline distT="0" distB="0" distL="0" distR="0">
            <wp:extent cx="5349240" cy="2400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349240" cy="240030"/>
                    </a:xfrm>
                    <a:prstGeom prst="rect">
                      <a:avLst/>
                    </a:prstGeom>
                    <a:noFill/>
                    <a:ln>
                      <a:noFill/>
                    </a:ln>
                  </pic:spPr>
                </pic:pic>
              </a:graphicData>
            </a:graphic>
          </wp:inline>
        </w:drawing>
      </w:r>
      <w:r>
        <w:rPr>
          <w:rFonts w:ascii="Times New Roman" w:cs="Times New Roman" w:eastAsia="Times New Roman" w:hAnsi="Times New Roman"/>
          <w:sz w:val="22"/>
          <w:szCs w:val="22"/>
          <w:b w:val="1"/>
          <w:bCs w:val="1"/>
          <w:u w:val="single" w:color="auto"/>
          <w:color w:val="auto"/>
        </w:rPr>
        <w:t>Notice of Election to Extend Revolving Loan Maturity Date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28, 2026</w:t>
      </w:r>
    </w:p>
    <w:p>
      <w:pPr>
        <w:spacing w:after="0" w:line="19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tab/>
        <w:t>Bank of America, N.A., as Administrative Agent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Building C</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2380 Performance Dr.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Richardson, TX 75082</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Angelica Vidana</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Telephone: 469-201-0404</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Electronic Mail: angelica.vidana@bofa.com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282"/>
        <w:spacing w:after="0" w:line="263" w:lineRule="auto"/>
        <w:rPr>
          <w:sz w:val="20"/>
          <w:szCs w:val="20"/>
          <w:color w:val="auto"/>
        </w:rPr>
      </w:pPr>
      <w:r>
        <w:rPr>
          <w:rFonts w:ascii="Times New Roman" w:cs="Times New Roman" w:eastAsia="Times New Roman" w:hAnsi="Times New Roman"/>
          <w:sz w:val="21"/>
          <w:szCs w:val="21"/>
          <w:color w:val="auto"/>
        </w:rPr>
        <w:t>Reference is made to that certain Second Amended and Restated Credit Agreement dated as of June 30, 2022 (as amended, restated, supplemented or otherwise modified from time to time prior to the date hereof,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among BRANDYWINE REALTY TRUST, a Maryland real estate investment trust (“</w:t>
      </w:r>
      <w:r>
        <w:rPr>
          <w:rFonts w:ascii="Times New Roman" w:cs="Times New Roman" w:eastAsia="Times New Roman" w:hAnsi="Times New Roman"/>
          <w:sz w:val="21"/>
          <w:szCs w:val="21"/>
          <w:u w:val="single" w:color="auto"/>
          <w:color w:val="auto"/>
        </w:rPr>
        <w:t>BRT</w:t>
      </w:r>
      <w:r>
        <w:rPr>
          <w:rFonts w:ascii="Times New Roman" w:cs="Times New Roman" w:eastAsia="Times New Roman" w:hAnsi="Times New Roman"/>
          <w:sz w:val="21"/>
          <w:szCs w:val="21"/>
          <w:color w:val="auto"/>
        </w:rPr>
        <w:t>”), BRANDYWINE OPERATING PARTNERSHIP, L.P., a Delaware limited partnership (“</w:t>
      </w:r>
      <w:r>
        <w:rPr>
          <w:rFonts w:ascii="Times New Roman" w:cs="Times New Roman" w:eastAsia="Times New Roman" w:hAnsi="Times New Roman"/>
          <w:sz w:val="21"/>
          <w:szCs w:val="21"/>
          <w:u w:val="single" w:color="auto"/>
          <w:color w:val="auto"/>
        </w:rPr>
        <w:t>BOP</w:t>
      </w:r>
      <w:r>
        <w:rPr>
          <w:rFonts w:ascii="Times New Roman" w:cs="Times New Roman" w:eastAsia="Times New Roman" w:hAnsi="Times New Roman"/>
          <w:sz w:val="21"/>
          <w:szCs w:val="21"/>
          <w:color w:val="auto"/>
        </w:rPr>
        <w:t>” and, together with BRT,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lender from time to time party thereto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individually,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and Bank of America, N.A., as Administrative Agent and an Issuing Lender, and the other Issuing Lenders from time to time party thereto. Capitalized terms used herein and not otherwise defined shall have the meanings ascribed to such terms in the Credit Agreement.</w:t>
      </w:r>
    </w:p>
    <w:p>
      <w:pPr>
        <w:spacing w:after="0" w:line="146" w:lineRule="exact"/>
        <w:rPr>
          <w:sz w:val="20"/>
          <w:szCs w:val="20"/>
          <w:color w:val="auto"/>
        </w:rPr>
      </w:pPr>
    </w:p>
    <w:p>
      <w:pPr>
        <w:jc w:val="both"/>
        <w:ind w:firstLine="238"/>
        <w:spacing w:after="0" w:line="257" w:lineRule="auto"/>
        <w:rPr>
          <w:sz w:val="20"/>
          <w:szCs w:val="20"/>
          <w:color w:val="auto"/>
        </w:rPr>
      </w:pPr>
      <w:r>
        <w:rPr>
          <w:rFonts w:ascii="Times New Roman" w:cs="Times New Roman" w:eastAsia="Times New Roman" w:hAnsi="Times New Roman"/>
          <w:sz w:val="22"/>
          <w:szCs w:val="22"/>
          <w:color w:val="auto"/>
        </w:rPr>
        <w:t>Pursuant to Section 3.5 of the Credit Agreement, the Borrowers hereby notify the Administrative Agent that they have elected to extend the Existing Revolving Loan Maturity Date under the Credit Agreement for a period of six (6) months (the “</w:t>
      </w:r>
      <w:r>
        <w:rPr>
          <w:rFonts w:ascii="Times New Roman" w:cs="Times New Roman" w:eastAsia="Times New Roman" w:hAnsi="Times New Roman"/>
          <w:sz w:val="22"/>
          <w:szCs w:val="22"/>
          <w:u w:val="single" w:color="auto"/>
          <w:color w:val="auto"/>
        </w:rPr>
        <w:t>Maturity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 Extension</w:t>
      </w:r>
      <w:r>
        <w:rPr>
          <w:rFonts w:ascii="Times New Roman" w:cs="Times New Roman" w:eastAsia="Times New Roman" w:hAnsi="Times New Roman"/>
          <w:sz w:val="22"/>
          <w:szCs w:val="22"/>
          <w:color w:val="auto"/>
        </w:rPr>
        <w:t>”), which Maturity Date Extension shall be effective on June 30, 2026.</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Borrowers hereby certify that:</w:t>
      </w:r>
    </w:p>
    <w:p>
      <w:pPr>
        <w:spacing w:after="0" w:line="179" w:lineRule="exact"/>
        <w:rPr>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no Default or Event of Default has occurred and is continuing; and</w:t>
      </w:r>
    </w:p>
    <w:p>
      <w:pPr>
        <w:spacing w:after="0" w:line="246" w:lineRule="exact"/>
        <w:rPr>
          <w:rFonts w:ascii="Times New Roman" w:cs="Times New Roman" w:eastAsia="Times New Roman" w:hAnsi="Times New Roman"/>
          <w:sz w:val="22"/>
          <w:szCs w:val="22"/>
          <w:color w:val="auto"/>
        </w:rPr>
      </w:pPr>
    </w:p>
    <w:p>
      <w:pPr>
        <w:ind w:left="1960" w:hanging="656"/>
        <w:spacing w:after="0" w:line="271" w:lineRule="auto"/>
        <w:tabs>
          <w:tab w:leader="none" w:pos="195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will pay to the Administrative Agent, for the pro rata benefit of the Revolving Loan Lenders, an extension fee equal to 0.0625% of the Revolving Credit Facility on or before June 30, 2026.</w:t>
      </w:r>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36" w:right="339" w:bottom="1440" w:gutter="0" w:footer="0" w:header="0"/>
        </w:sectPr>
      </w:pPr>
    </w:p>
    <w:bookmarkStart w:id="5" w:name="page6"/>
    <w:bookmarkEnd w:id="5"/>
    <w:p>
      <w:pPr>
        <w:ind w:left="27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BRANDYWINE REALTY TRUST</w:t>
      </w:r>
      <w:r>
        <w:rPr>
          <w:rFonts w:ascii="Times New Roman" w:cs="Times New Roman" w:eastAsia="Times New Roman" w:hAnsi="Times New Roman"/>
          <w:sz w:val="22"/>
          <w:szCs w:val="22"/>
          <w:color w:val="auto"/>
        </w:rPr>
        <w:t>, a Maryland real estate investment trust</w:t>
      </w: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Thomas E. Wirth</w:t>
      </w:r>
      <w:r>
        <w:rPr>
          <w:rFonts w:ascii="Times New Roman" w:cs="Times New Roman" w:eastAsia="Times New Roman" w:hAnsi="Times New Roman"/>
          <w:sz w:val="22"/>
          <w:szCs w:val="22"/>
          <w:color w:val="auto"/>
        </w:rPr>
        <w:t>________________</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_</w:t>
      </w:r>
      <w:r>
        <w:rPr>
          <w:rFonts w:ascii="Times New Roman" w:cs="Times New Roman" w:eastAsia="Times New Roman" w:hAnsi="Times New Roman"/>
          <w:sz w:val="22"/>
          <w:szCs w:val="22"/>
          <w:u w:val="single" w:color="auto"/>
          <w:color w:val="auto"/>
        </w:rPr>
        <w:t>Thomas E. Wirth</w:t>
      </w:r>
      <w:r>
        <w:rPr>
          <w:rFonts w:ascii="Times New Roman" w:cs="Times New Roman" w:eastAsia="Times New Roman" w:hAnsi="Times New Roman"/>
          <w:sz w:val="22"/>
          <w:szCs w:val="22"/>
          <w:color w:val="auto"/>
        </w:rPr>
        <w:t>________________</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_</w:t>
      </w:r>
      <w:r>
        <w:rPr>
          <w:rFonts w:ascii="Times New Roman" w:cs="Times New Roman" w:eastAsia="Times New Roman" w:hAnsi="Times New Roman"/>
          <w:sz w:val="22"/>
          <w:szCs w:val="22"/>
          <w:u w:val="single" w:color="auto"/>
          <w:color w:val="auto"/>
        </w:rPr>
        <w:t>EVP &amp; CFO</w:t>
      </w:r>
      <w:r>
        <w:rPr>
          <w:rFonts w:ascii="Times New Roman" w:cs="Times New Roman" w:eastAsia="Times New Roman" w:hAnsi="Times New Roman"/>
          <w:sz w:val="22"/>
          <w:szCs w:val="22"/>
          <w:color w:val="auto"/>
        </w:rPr>
        <w:t>____________________</w:t>
      </w:r>
    </w:p>
    <w:p>
      <w:pPr>
        <w:spacing w:after="0" w:line="219" w:lineRule="exact"/>
        <w:rPr>
          <w:sz w:val="20"/>
          <w:szCs w:val="20"/>
          <w:color w:val="auto"/>
        </w:rPr>
      </w:pPr>
    </w:p>
    <w:p>
      <w:pPr>
        <w:ind w:left="2780" w:right="360"/>
        <w:spacing w:after="0" w:line="275" w:lineRule="auto"/>
        <w:rPr>
          <w:sz w:val="20"/>
          <w:szCs w:val="20"/>
          <w:color w:val="auto"/>
        </w:rPr>
      </w:pPr>
      <w:r>
        <w:rPr>
          <w:rFonts w:ascii="Times New Roman" w:cs="Times New Roman" w:eastAsia="Times New Roman" w:hAnsi="Times New Roman"/>
          <w:sz w:val="22"/>
          <w:szCs w:val="22"/>
          <w:b w:val="1"/>
          <w:bCs w:val="1"/>
          <w:color w:val="auto"/>
        </w:rPr>
        <w:t>BRANDYWINE OPERATING PARTNERSHIP, L.P.</w:t>
      </w:r>
      <w:r>
        <w:rPr>
          <w:rFonts w:ascii="Times New Roman" w:cs="Times New Roman" w:eastAsia="Times New Roman" w:hAnsi="Times New Roman"/>
          <w:sz w:val="22"/>
          <w:szCs w:val="22"/>
          <w:color w:val="auto"/>
        </w:rPr>
        <w:t>, a Delaware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w:t>
      </w:r>
    </w:p>
    <w:p>
      <w:pPr>
        <w:spacing w:after="0" w:line="180" w:lineRule="exact"/>
        <w:rPr>
          <w:sz w:val="20"/>
          <w:szCs w:val="20"/>
          <w:color w:val="auto"/>
        </w:rPr>
      </w:pPr>
    </w:p>
    <w:p>
      <w:pPr>
        <w:ind w:left="2780"/>
        <w:spacing w:after="0" w:line="284" w:lineRule="auto"/>
        <w:rPr>
          <w:sz w:val="20"/>
          <w:szCs w:val="20"/>
          <w:color w:val="auto"/>
        </w:rPr>
      </w:pPr>
      <w:r>
        <w:rPr>
          <w:rFonts w:ascii="Times New Roman" w:cs="Times New Roman" w:eastAsia="Times New Roman" w:hAnsi="Times New Roman"/>
          <w:sz w:val="22"/>
          <w:szCs w:val="22"/>
          <w:color w:val="auto"/>
        </w:rPr>
        <w:t>By: Brandywine Realty Trust, a Maryland real estate investment trust, its general partner</w:t>
      </w:r>
    </w:p>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w:t>
      </w:r>
      <w:r>
        <w:rPr>
          <w:rFonts w:ascii="Times New Roman" w:cs="Times New Roman" w:eastAsia="Times New Roman" w:hAnsi="Times New Roman"/>
          <w:sz w:val="22"/>
          <w:szCs w:val="22"/>
          <w:u w:val="single" w:color="auto"/>
          <w:color w:val="auto"/>
        </w:rPr>
        <w:t>/s/ Thomas E. Wirth</w:t>
      </w:r>
      <w:r>
        <w:rPr>
          <w:rFonts w:ascii="Times New Roman" w:cs="Times New Roman" w:eastAsia="Times New Roman" w:hAnsi="Times New Roman"/>
          <w:sz w:val="22"/>
          <w:szCs w:val="22"/>
          <w:color w:val="auto"/>
        </w:rPr>
        <w:t>________________</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_</w:t>
      </w:r>
      <w:r>
        <w:rPr>
          <w:rFonts w:ascii="Times New Roman" w:cs="Times New Roman" w:eastAsia="Times New Roman" w:hAnsi="Times New Roman"/>
          <w:sz w:val="22"/>
          <w:szCs w:val="22"/>
          <w:u w:val="single" w:color="auto"/>
          <w:color w:val="auto"/>
        </w:rPr>
        <w:t>Thomas E. Wirth</w:t>
      </w:r>
      <w:r>
        <w:rPr>
          <w:rFonts w:ascii="Times New Roman" w:cs="Times New Roman" w:eastAsia="Times New Roman" w:hAnsi="Times New Roman"/>
          <w:sz w:val="22"/>
          <w:szCs w:val="22"/>
          <w:color w:val="auto"/>
        </w:rPr>
        <w:t>________________</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_</w:t>
      </w:r>
      <w:r>
        <w:rPr>
          <w:rFonts w:ascii="Times New Roman" w:cs="Times New Roman" w:eastAsia="Times New Roman" w:hAnsi="Times New Roman"/>
          <w:sz w:val="22"/>
          <w:szCs w:val="22"/>
          <w:u w:val="single" w:color="auto"/>
          <w:color w:val="auto"/>
        </w:rPr>
        <w:t>EVP &amp; CFO</w:t>
      </w:r>
      <w:r>
        <w:rPr>
          <w:rFonts w:ascii="Times New Roman" w:cs="Times New Roman" w:eastAsia="Times New Roman" w:hAnsi="Times New Roman"/>
          <w:sz w:val="22"/>
          <w:szCs w:val="22"/>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i w:val="1"/>
          <w:iCs w:val="1"/>
          <w:color w:val="auto"/>
        </w:rPr>
        <w:t>[Signature Page to Notice of Election to Extend Maturity]</w:t>
      </w:r>
    </w:p>
    <w:sectPr>
      <w:pgSz w:w="11900" w:h="16838" w:orient="portrait"/>
      <w:cols w:equalWidth="0" w:num="1">
        <w:col w:w="9780"/>
      </w:cols>
      <w:pgMar w:left="1440" w:top="1422"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5"/>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0" Type="http://schemas.openxmlformats.org/officeDocument/2006/relationships/hyperlink" Target="https://www.sec.gov/ix?doc=/Archives/edgar/data/0000790816/000119312526145566/bdn-202604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2026-06-01T16:17:54Z</dcterms:created>
  <dcterms:modified xsi:type="dcterms:W3CDTF">2026-06-01T16:17:54Z</dcterms:modified>
</cp:coreProperties>
</file>